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8EFC" w14:textId="19C352D2" w:rsidR="002451D2" w:rsidRDefault="001043B9" w:rsidP="002451D2">
      <w:pPr>
        <w:jc w:val="right"/>
        <w:rPr>
          <w:noProof/>
          <w:lang w:eastAsia="en-GB"/>
        </w:rPr>
      </w:pPr>
      <w:r>
        <w:rPr>
          <w:noProof/>
          <w:lang w:eastAsia="en-GB"/>
        </w:rPr>
        <w:drawing>
          <wp:anchor distT="0" distB="0" distL="114300" distR="114300" simplePos="0" relativeHeight="251658240" behindDoc="0" locked="0" layoutInCell="1" allowOverlap="1" wp14:anchorId="5CE0C58F" wp14:editId="25919319">
            <wp:simplePos x="0" y="0"/>
            <wp:positionH relativeFrom="margin">
              <wp:posOffset>139700</wp:posOffset>
            </wp:positionH>
            <wp:positionV relativeFrom="paragraph">
              <wp:posOffset>44450</wp:posOffset>
            </wp:positionV>
            <wp:extent cx="1918579" cy="80454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_in_practice_adults_cor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295" cy="806103"/>
                    </a:xfrm>
                    <a:prstGeom prst="rect">
                      <a:avLst/>
                    </a:prstGeom>
                  </pic:spPr>
                </pic:pic>
              </a:graphicData>
            </a:graphic>
            <wp14:sizeRelH relativeFrom="page">
              <wp14:pctWidth>0</wp14:pctWidth>
            </wp14:sizeRelH>
            <wp14:sizeRelV relativeFrom="page">
              <wp14:pctHeight>0</wp14:pctHeight>
            </wp14:sizeRelV>
          </wp:anchor>
        </w:drawing>
      </w:r>
      <w:r w:rsidR="002451D2">
        <w:rPr>
          <w:noProof/>
          <w:lang w:eastAsia="en-GB"/>
        </w:rPr>
        <w:drawing>
          <wp:inline distT="0" distB="0" distL="0" distR="0" wp14:anchorId="12E022AF" wp14:editId="754D0D11">
            <wp:extent cx="3016250" cy="132811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1993" cy="1361461"/>
                    </a:xfrm>
                    <a:prstGeom prst="rect">
                      <a:avLst/>
                    </a:prstGeom>
                    <a:noFill/>
                  </pic:spPr>
                </pic:pic>
              </a:graphicData>
            </a:graphic>
          </wp:inline>
        </w:drawing>
      </w:r>
    </w:p>
    <w:p w14:paraId="5438B7E3" w14:textId="77795EA6" w:rsidR="00D3743E" w:rsidRPr="00D3743E" w:rsidRDefault="00D3743E" w:rsidP="00D3743E">
      <w:pPr>
        <w:spacing w:after="0" w:line="240" w:lineRule="auto"/>
        <w:rPr>
          <w:rFonts w:ascii="Calibri" w:eastAsia="Calibri" w:hAnsi="Calibri" w:cs="Times New Roman"/>
        </w:rPr>
      </w:pPr>
      <w:r w:rsidRPr="00D3743E">
        <w:rPr>
          <w:rFonts w:ascii="Calibri" w:eastAsia="Calibri" w:hAnsi="Calibri" w:cs="Times New Roman"/>
        </w:rPr>
        <w:t xml:space="preserve">Welcome to </w:t>
      </w:r>
      <w:r w:rsidR="00DF13F1">
        <w:rPr>
          <w:rFonts w:ascii="Calibri" w:eastAsia="Calibri" w:hAnsi="Calibri" w:cs="Times New Roman"/>
          <w:b/>
          <w:bCs/>
          <w:color w:val="2E74B5" w:themeColor="accent5" w:themeShade="BF"/>
        </w:rPr>
        <w:t>Ju</w:t>
      </w:r>
      <w:r w:rsidR="007762D5">
        <w:rPr>
          <w:rFonts w:ascii="Calibri" w:eastAsia="Calibri" w:hAnsi="Calibri" w:cs="Times New Roman"/>
          <w:b/>
          <w:bCs/>
          <w:color w:val="2E74B5" w:themeColor="accent5" w:themeShade="BF"/>
        </w:rPr>
        <w:t>ly</w:t>
      </w:r>
      <w:r w:rsidRPr="00A949A5">
        <w:rPr>
          <w:rFonts w:ascii="Calibri" w:eastAsia="Calibri" w:hAnsi="Calibri" w:cs="Times New Roman"/>
          <w:b/>
          <w:bCs/>
          <w:color w:val="2E74B5" w:themeColor="accent5" w:themeShade="BF"/>
        </w:rPr>
        <w:t>’s</w:t>
      </w:r>
      <w:r w:rsidRPr="00F666A3">
        <w:rPr>
          <w:rFonts w:ascii="Calibri" w:eastAsia="Calibri" w:hAnsi="Calibri" w:cs="Times New Roman"/>
          <w:b/>
          <w:bCs/>
          <w:color w:val="4472C4" w:themeColor="accent1"/>
        </w:rPr>
        <w:t xml:space="preserve"> </w:t>
      </w:r>
      <w:r w:rsidRPr="00D3743E">
        <w:rPr>
          <w:rFonts w:ascii="Calibri" w:eastAsia="Calibri" w:hAnsi="Calibri" w:cs="Times New Roman"/>
        </w:rPr>
        <w:t xml:space="preserve">edition of Research in Practice newsletter! </w:t>
      </w:r>
    </w:p>
    <w:p w14:paraId="1EF351E4" w14:textId="77777777" w:rsidR="00D3743E" w:rsidRPr="00D3743E" w:rsidRDefault="00D3743E" w:rsidP="00D3743E">
      <w:pPr>
        <w:spacing w:after="0" w:line="240" w:lineRule="auto"/>
        <w:rPr>
          <w:rFonts w:ascii="Calibri" w:eastAsia="Calibri" w:hAnsi="Calibri" w:cs="Times New Roman"/>
        </w:rPr>
      </w:pPr>
    </w:p>
    <w:p w14:paraId="77995AD0" w14:textId="23778E10" w:rsidR="00D3743E" w:rsidRPr="00D3743E" w:rsidRDefault="001043B9" w:rsidP="00D3743E">
      <w:pPr>
        <w:spacing w:after="0" w:line="240" w:lineRule="auto"/>
        <w:rPr>
          <w:rFonts w:ascii="Calibri" w:eastAsia="Calibri" w:hAnsi="Calibri" w:cs="Times New Roman"/>
          <w:b/>
          <w:color w:val="2E74B5"/>
          <w:sz w:val="32"/>
          <w:szCs w:val="32"/>
          <w:u w:val="single"/>
        </w:rPr>
      </w:pPr>
      <w:r>
        <w:rPr>
          <w:rFonts w:ascii="Calibri" w:eastAsia="Calibri" w:hAnsi="Calibri" w:cs="Times New Roman"/>
          <w:b/>
          <w:color w:val="2E74B5"/>
          <w:sz w:val="28"/>
          <w:szCs w:val="28"/>
          <w:u w:val="single"/>
        </w:rPr>
        <w:t>S</w:t>
      </w:r>
      <w:r w:rsidR="00D3743E" w:rsidRPr="00D3743E">
        <w:rPr>
          <w:rFonts w:ascii="Calibri" w:eastAsia="Calibri" w:hAnsi="Calibri" w:cs="Times New Roman"/>
          <w:b/>
          <w:color w:val="2E74B5"/>
          <w:sz w:val="28"/>
          <w:szCs w:val="28"/>
          <w:u w:val="single"/>
        </w:rPr>
        <w:t>et up your account</w:t>
      </w:r>
      <w:r w:rsidR="00D3743E" w:rsidRPr="00D3743E">
        <w:rPr>
          <w:rFonts w:ascii="Calibri" w:eastAsia="Calibri" w:hAnsi="Calibri" w:cs="Times New Roman"/>
          <w:b/>
          <w:color w:val="2E74B5"/>
          <w:sz w:val="32"/>
          <w:szCs w:val="32"/>
          <w:u w:val="single"/>
        </w:rPr>
        <w:t xml:space="preserve">!! </w:t>
      </w:r>
      <w:r w:rsidR="00D3743E" w:rsidRPr="00D3743E">
        <w:rPr>
          <w:rFonts w:ascii="Calibri" w:eastAsia="Calibri" w:hAnsi="Calibri" w:cs="Times New Roman"/>
          <w:noProof/>
          <w:lang w:eastAsia="en-GB"/>
        </w:rPr>
        <w:t xml:space="preserve"> </w:t>
      </w:r>
    </w:p>
    <w:p w14:paraId="513DC63D" w14:textId="77777777" w:rsidR="00D3743E" w:rsidRPr="00D3743E" w:rsidRDefault="00D3743E" w:rsidP="00D3743E">
      <w:pPr>
        <w:spacing w:after="0" w:line="240" w:lineRule="auto"/>
        <w:rPr>
          <w:rFonts w:ascii="Calibri" w:eastAsia="Calibri" w:hAnsi="Calibri" w:cs="Times New Roman"/>
        </w:rPr>
      </w:pPr>
    </w:p>
    <w:p w14:paraId="49EAE28F" w14:textId="4B1C3367" w:rsidR="00D3743E" w:rsidRDefault="001043B9" w:rsidP="00D3743E">
      <w:pPr>
        <w:spacing w:after="0" w:line="240" w:lineRule="auto"/>
        <w:rPr>
          <w:rFonts w:ascii="Calibri" w:eastAsia="Calibri" w:hAnsi="Calibri" w:cs="Calibri"/>
          <w:b/>
          <w:sz w:val="24"/>
          <w:szCs w:val="24"/>
        </w:rPr>
      </w:pPr>
      <w:r>
        <w:rPr>
          <w:rFonts w:ascii="Calibri" w:eastAsia="Calibri" w:hAnsi="Calibri" w:cs="Times New Roman"/>
        </w:rPr>
        <w:t xml:space="preserve">You cannot access this </w:t>
      </w:r>
      <w:r w:rsidR="009909B4">
        <w:rPr>
          <w:rFonts w:ascii="Calibri" w:eastAsia="Calibri" w:hAnsi="Calibri" w:cs="Times New Roman"/>
        </w:rPr>
        <w:t xml:space="preserve">valuable </w:t>
      </w:r>
      <w:r>
        <w:rPr>
          <w:rFonts w:ascii="Calibri" w:eastAsia="Calibri" w:hAnsi="Calibri" w:cs="Times New Roman"/>
        </w:rPr>
        <w:t xml:space="preserve">resource, without setting up an account. </w:t>
      </w:r>
      <w:r w:rsidR="00D3743E" w:rsidRPr="00D3743E">
        <w:rPr>
          <w:rFonts w:ascii="Calibri" w:eastAsia="Calibri" w:hAnsi="Calibri" w:cs="Times New Roman"/>
        </w:rPr>
        <w:t xml:space="preserve">If you have not already done so, </w:t>
      </w:r>
      <w:r w:rsidR="00D3743E" w:rsidRPr="00D3743E">
        <w:rPr>
          <w:rFonts w:ascii="Calibri" w:eastAsia="Calibri" w:hAnsi="Calibri" w:cs="Calibri"/>
          <w:bCs/>
          <w:color w:val="000000"/>
          <w:lang w:eastAsia="en-GB"/>
        </w:rPr>
        <w:t xml:space="preserve">please set up an account by following the instructions </w:t>
      </w:r>
      <w:hyperlink r:id="rId9" w:history="1">
        <w:r w:rsidR="00D3743E" w:rsidRPr="00D3743E">
          <w:rPr>
            <w:rFonts w:ascii="Calibri" w:eastAsia="Calibri" w:hAnsi="Calibri" w:cs="Calibri"/>
            <w:bCs/>
            <w:color w:val="4472C4"/>
            <w:u w:val="single"/>
          </w:rPr>
          <w:t>here</w:t>
        </w:r>
      </w:hyperlink>
      <w:r w:rsidR="00D3743E" w:rsidRPr="00D3743E">
        <w:rPr>
          <w:rFonts w:ascii="Calibri" w:eastAsia="Calibri" w:hAnsi="Calibri" w:cs="Calibri"/>
          <w:color w:val="4472C4"/>
          <w:lang w:eastAsia="en-GB"/>
        </w:rPr>
        <w:t xml:space="preserve">. </w:t>
      </w:r>
      <w:r w:rsidR="00D3743E" w:rsidRPr="00D3743E">
        <w:rPr>
          <w:rFonts w:ascii="Calibri" w:eastAsia="Calibri" w:hAnsi="Calibri" w:cs="Calibri"/>
        </w:rPr>
        <w:t xml:space="preserve">This is quick and easy, and you can also watch this </w:t>
      </w:r>
      <w:hyperlink r:id="rId10" w:history="1">
        <w:r w:rsidR="00D3743E" w:rsidRPr="00D3743E">
          <w:rPr>
            <w:rFonts w:ascii="Calibri" w:eastAsia="Calibri" w:hAnsi="Calibri" w:cs="Calibri"/>
            <w:color w:val="4472C4"/>
            <w:u w:val="single"/>
          </w:rPr>
          <w:t>film clip</w:t>
        </w:r>
      </w:hyperlink>
      <w:r w:rsidR="00D3743E" w:rsidRPr="00D3743E">
        <w:rPr>
          <w:rFonts w:ascii="Calibri" w:eastAsia="Calibri" w:hAnsi="Calibri" w:cs="Calibri"/>
        </w:rPr>
        <w:t xml:space="preserve"> which shows you how to create an account and gives a quick overview of the website.</w:t>
      </w:r>
      <w:r w:rsidR="00D3743E" w:rsidRPr="00D3743E">
        <w:rPr>
          <w:rFonts w:ascii="Calibri" w:eastAsia="Calibri" w:hAnsi="Calibri" w:cs="Calibri"/>
          <w:b/>
          <w:sz w:val="24"/>
          <w:szCs w:val="24"/>
        </w:rPr>
        <w:t xml:space="preserve"> </w:t>
      </w:r>
    </w:p>
    <w:p w14:paraId="326EAFD1" w14:textId="77777777" w:rsidR="00713E89" w:rsidRDefault="00713E89" w:rsidP="00D3743E">
      <w:pPr>
        <w:spacing w:after="0" w:line="240" w:lineRule="auto"/>
        <w:rPr>
          <w:rFonts w:ascii="Calibri" w:eastAsia="Calibri" w:hAnsi="Calibri" w:cs="Calibri"/>
          <w:b/>
          <w:sz w:val="24"/>
          <w:szCs w:val="24"/>
        </w:rPr>
      </w:pPr>
    </w:p>
    <w:p w14:paraId="5E5E0687" w14:textId="26BF825A" w:rsidR="008E6D03" w:rsidRDefault="00713E89" w:rsidP="00C95C73">
      <w:r>
        <w:t xml:space="preserve">You can sign up to receive a regular email updates about the latest events, resources available to you from Research in Practice as well as subscribing to the monthly research and policy update email; To subscribe, </w:t>
      </w:r>
      <w:hyperlink r:id="rId11" w:tgtFrame="_blank" w:history="1">
        <w:r>
          <w:rPr>
            <w:rStyle w:val="Hyperlink"/>
          </w:rPr>
          <w:t>login to your account</w:t>
        </w:r>
      </w:hyperlink>
      <w:r>
        <w:t xml:space="preserve"> and select '</w:t>
      </w:r>
      <w:hyperlink r:id="rId12" w:tgtFrame="_blank" w:history="1">
        <w:r>
          <w:rPr>
            <w:rStyle w:val="Hyperlink"/>
          </w:rPr>
          <w:t>Contact preferences</w:t>
        </w:r>
      </w:hyperlink>
      <w:r>
        <w:t>' on your dashboard. You can choose to receive updates on resources specific to children and families, to adult social care or both areas. </w:t>
      </w:r>
    </w:p>
    <w:p w14:paraId="762BC7F1" w14:textId="77777777" w:rsidR="00DF13F1" w:rsidRDefault="00DF13F1" w:rsidP="00DF13F1">
      <w:pPr>
        <w:pStyle w:val="NormalWeb"/>
        <w:spacing w:before="0" w:beforeAutospacing="0" w:after="0" w:afterAutospacing="0"/>
        <w:rPr>
          <w:rFonts w:asciiTheme="minorHAnsi" w:hAnsiTheme="minorHAnsi" w:cstheme="minorHAnsi"/>
          <w:color w:val="000000"/>
          <w:sz w:val="22"/>
          <w:szCs w:val="22"/>
        </w:rPr>
      </w:pPr>
    </w:p>
    <w:p w14:paraId="596E67B9" w14:textId="158E1C2A" w:rsidR="00DF13F1" w:rsidRPr="00DF13F1" w:rsidRDefault="00DF13F1" w:rsidP="00DF13F1">
      <w:pPr>
        <w:pStyle w:val="NormalWeb"/>
        <w:spacing w:before="0" w:beforeAutospacing="0" w:after="0" w:afterAutospacing="0"/>
        <w:rPr>
          <w:rFonts w:asciiTheme="minorHAnsi" w:hAnsiTheme="minorHAnsi" w:cstheme="minorHAnsi"/>
          <w:b/>
          <w:bCs/>
          <w:color w:val="2E74B5" w:themeColor="accent5" w:themeShade="BF"/>
          <w:sz w:val="28"/>
          <w:szCs w:val="28"/>
          <w:u w:val="single"/>
        </w:rPr>
      </w:pPr>
      <w:proofErr w:type="gramStart"/>
      <w:r w:rsidRPr="00DF13F1">
        <w:rPr>
          <w:rFonts w:asciiTheme="minorHAnsi" w:hAnsiTheme="minorHAnsi" w:cstheme="minorHAnsi"/>
          <w:b/>
          <w:bCs/>
          <w:color w:val="2E74B5" w:themeColor="accent5" w:themeShade="BF"/>
          <w:sz w:val="28"/>
          <w:szCs w:val="28"/>
          <w:u w:val="single"/>
        </w:rPr>
        <w:t>Well</w:t>
      </w:r>
      <w:proofErr w:type="gramEnd"/>
      <w:r w:rsidRPr="00DF13F1">
        <w:rPr>
          <w:rFonts w:asciiTheme="minorHAnsi" w:hAnsiTheme="minorHAnsi" w:cstheme="minorHAnsi"/>
          <w:b/>
          <w:bCs/>
          <w:color w:val="2E74B5" w:themeColor="accent5" w:themeShade="BF"/>
          <w:sz w:val="28"/>
          <w:szCs w:val="28"/>
          <w:u w:val="single"/>
        </w:rPr>
        <w:t xml:space="preserve"> done Michelle!! </w:t>
      </w:r>
    </w:p>
    <w:p w14:paraId="706E63F5" w14:textId="77777777" w:rsidR="00DF13F1" w:rsidRDefault="00DF13F1" w:rsidP="00DF13F1">
      <w:pPr>
        <w:pStyle w:val="NormalWeb"/>
        <w:spacing w:before="0" w:beforeAutospacing="0" w:after="0" w:afterAutospacing="0"/>
        <w:rPr>
          <w:rFonts w:asciiTheme="minorHAnsi" w:hAnsiTheme="minorHAnsi" w:cstheme="minorHAnsi"/>
          <w:color w:val="000000"/>
          <w:sz w:val="22"/>
          <w:szCs w:val="22"/>
        </w:rPr>
      </w:pPr>
    </w:p>
    <w:p w14:paraId="44AC0FD1" w14:textId="50C9FBEE" w:rsidR="00DF13F1" w:rsidRPr="00DF13F1" w:rsidRDefault="00DF13F1" w:rsidP="00DF13F1">
      <w:pPr>
        <w:pStyle w:val="NormalWeb"/>
        <w:spacing w:before="0" w:beforeAutospacing="0" w:after="0" w:afterAutospacing="0"/>
        <w:rPr>
          <w:rFonts w:asciiTheme="minorHAnsi" w:hAnsiTheme="minorHAnsi" w:cstheme="minorHAnsi"/>
          <w:color w:val="000000"/>
          <w:sz w:val="22"/>
          <w:szCs w:val="22"/>
        </w:rPr>
      </w:pPr>
      <w:r w:rsidRPr="00DF13F1">
        <w:rPr>
          <w:rFonts w:asciiTheme="minorHAnsi" w:hAnsiTheme="minorHAnsi" w:cstheme="minorHAnsi"/>
          <w:color w:val="000000"/>
          <w:sz w:val="22"/>
          <w:szCs w:val="22"/>
        </w:rPr>
        <w:t>We are delighted that Michelle McDermott, Apprentice Co-ordinator, </w:t>
      </w:r>
      <w:r>
        <w:rPr>
          <w:rFonts w:asciiTheme="minorHAnsi" w:hAnsiTheme="minorHAnsi" w:cstheme="minorHAnsi"/>
          <w:color w:val="000000"/>
          <w:sz w:val="22"/>
          <w:szCs w:val="22"/>
        </w:rPr>
        <w:t>r</w:t>
      </w:r>
      <w:r w:rsidRPr="00DF13F1">
        <w:rPr>
          <w:rFonts w:asciiTheme="minorHAnsi" w:hAnsiTheme="minorHAnsi" w:cstheme="minorHAnsi"/>
          <w:color w:val="000000"/>
          <w:sz w:val="22"/>
          <w:szCs w:val="22"/>
        </w:rPr>
        <w:t>eceived a Highly Commended award at the recent Research in Practice Link Officer of the Year Awards 2022.</w:t>
      </w: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Well</w:t>
      </w:r>
      <w:proofErr w:type="gramEnd"/>
      <w:r>
        <w:rPr>
          <w:rFonts w:asciiTheme="minorHAnsi" w:hAnsiTheme="minorHAnsi" w:cstheme="minorHAnsi"/>
          <w:color w:val="000000"/>
          <w:sz w:val="22"/>
          <w:szCs w:val="22"/>
        </w:rPr>
        <w:t xml:space="preserve"> done Michelle! </w:t>
      </w:r>
    </w:p>
    <w:p w14:paraId="1BF87FC1" w14:textId="77777777" w:rsidR="00DF13F1" w:rsidRPr="00713E89" w:rsidRDefault="00DF13F1" w:rsidP="00C95C73"/>
    <w:p w14:paraId="53D5778C" w14:textId="10887786" w:rsidR="00905CAF" w:rsidRPr="00C95C73" w:rsidRDefault="00905CAF" w:rsidP="00C95C73">
      <w:pPr>
        <w:rPr>
          <w:b/>
          <w:bCs/>
          <w:color w:val="0070C0"/>
          <w:sz w:val="28"/>
          <w:szCs w:val="28"/>
          <w:u w:val="single"/>
        </w:rPr>
      </w:pPr>
      <w:r w:rsidRPr="00C95C73">
        <w:rPr>
          <w:b/>
          <w:bCs/>
          <w:color w:val="0070C0"/>
          <w:sz w:val="28"/>
          <w:szCs w:val="28"/>
          <w:u w:val="single"/>
        </w:rPr>
        <w:t>Signpost sessions</w:t>
      </w:r>
      <w:r w:rsidR="001043B9">
        <w:rPr>
          <w:b/>
          <w:bCs/>
          <w:color w:val="0070C0"/>
          <w:sz w:val="28"/>
          <w:szCs w:val="28"/>
          <w:u w:val="single"/>
        </w:rPr>
        <w:t>!</w:t>
      </w:r>
    </w:p>
    <w:p w14:paraId="62C8F68D" w14:textId="4D18A53A" w:rsidR="005C25AE" w:rsidRPr="00636431" w:rsidRDefault="00905CAF" w:rsidP="00905CAF">
      <w:r w:rsidRPr="00636431">
        <w:t xml:space="preserve">After the success of </w:t>
      </w:r>
      <w:r w:rsidR="00C95C73" w:rsidRPr="00636431">
        <w:t>the</w:t>
      </w:r>
      <w:r w:rsidRPr="00636431">
        <w:t xml:space="preserve"> regular online Information Sessions and Engagement Support Sessions</w:t>
      </w:r>
      <w:r w:rsidR="001043B9">
        <w:t>,</w:t>
      </w:r>
      <w:r w:rsidRPr="00636431">
        <w:t xml:space="preserve"> </w:t>
      </w:r>
      <w:r w:rsidR="005C25AE" w:rsidRPr="00636431">
        <w:t>Research in Practice</w:t>
      </w:r>
      <w:r w:rsidRPr="00636431">
        <w:t xml:space="preserve"> are pleased to </w:t>
      </w:r>
      <w:r w:rsidR="00DF13F1">
        <w:t xml:space="preserve">continue with </w:t>
      </w:r>
      <w:r w:rsidRPr="00636431">
        <w:t xml:space="preserve">monthly </w:t>
      </w:r>
      <w:r w:rsidR="00DF13F1">
        <w:t xml:space="preserve">signpost </w:t>
      </w:r>
      <w:r w:rsidRPr="00636431">
        <w:t>sessions. Signposts are topic-based sessions which highlight key resources</w:t>
      </w:r>
      <w:r w:rsidR="001043B9">
        <w:t xml:space="preserve"> to support practice,</w:t>
      </w:r>
      <w:r w:rsidRPr="00636431">
        <w:t xml:space="preserve"> along with details of where to find them. </w:t>
      </w:r>
      <w:r w:rsidR="00DF13F1" w:rsidRPr="00DF13F1">
        <w:rPr>
          <w:rFonts w:cstheme="minorHAnsi"/>
          <w:color w:val="000000"/>
          <w:shd w:val="clear" w:color="auto" w:fill="FFFFFF"/>
        </w:rPr>
        <w:t>Each session has up to 250 places on a first come first serve basis. No booking required, simply follow the link on the day</w:t>
      </w:r>
      <w:r w:rsidR="00DF13F1">
        <w:rPr>
          <w:rFonts w:ascii="Arial" w:hAnsi="Arial" w:cs="Arial"/>
          <w:color w:val="000000"/>
          <w:sz w:val="27"/>
          <w:szCs w:val="27"/>
          <w:shd w:val="clear" w:color="auto" w:fill="FFFFFF"/>
        </w:rPr>
        <w:t xml:space="preserve">, </w:t>
      </w:r>
      <w:r w:rsidR="00DF13F1" w:rsidRPr="00DF13F1">
        <w:rPr>
          <w:rFonts w:cstheme="minorHAnsi"/>
          <w:color w:val="000000"/>
          <w:shd w:val="clear" w:color="auto" w:fill="FFFFFF"/>
        </w:rPr>
        <w:t>found</w:t>
      </w:r>
      <w:r w:rsidR="00DF13F1">
        <w:rPr>
          <w:rFonts w:ascii="Arial" w:hAnsi="Arial" w:cs="Arial"/>
          <w:color w:val="000000"/>
          <w:sz w:val="27"/>
          <w:szCs w:val="27"/>
          <w:shd w:val="clear" w:color="auto" w:fill="FFFFFF"/>
        </w:rPr>
        <w:t xml:space="preserve"> </w:t>
      </w:r>
      <w:hyperlink r:id="rId13" w:history="1">
        <w:r w:rsidR="006334C8" w:rsidRPr="006334C8">
          <w:rPr>
            <w:rStyle w:val="Hyperlink"/>
          </w:rPr>
          <w:t>here</w:t>
        </w:r>
      </w:hyperlink>
      <w:r w:rsidR="001043B9">
        <w:t>.</w:t>
      </w:r>
      <w:r w:rsidRPr="00636431">
        <w:t xml:space="preserve"> </w:t>
      </w:r>
      <w:r w:rsidR="005C25AE" w:rsidRPr="00636431">
        <w:t>T</w:t>
      </w:r>
      <w:r w:rsidRPr="00636431">
        <w:t>he</w:t>
      </w:r>
      <w:r w:rsidR="008E6D03">
        <w:t xml:space="preserve"> sessions are all </w:t>
      </w:r>
      <w:r w:rsidR="008E6D03" w:rsidRPr="008E6D03">
        <w:rPr>
          <w:b/>
          <w:bCs/>
        </w:rPr>
        <w:t>12 – 1.15pm</w:t>
      </w:r>
      <w:r w:rsidR="008E6D03" w:rsidRPr="008E6D03">
        <w:t xml:space="preserve"> </w:t>
      </w:r>
      <w:r w:rsidR="008E6D03">
        <w:t xml:space="preserve">and </w:t>
      </w:r>
      <w:r w:rsidRPr="00636431">
        <w:t xml:space="preserve">topics </w:t>
      </w:r>
      <w:r w:rsidR="001043B9">
        <w:t xml:space="preserve">over the next </w:t>
      </w:r>
      <w:r w:rsidR="00385E55">
        <w:t>few</w:t>
      </w:r>
      <w:r w:rsidR="001043B9">
        <w:t xml:space="preserve"> months are</w:t>
      </w:r>
      <w:r w:rsidRPr="00636431">
        <w:t xml:space="preserve">: </w:t>
      </w:r>
    </w:p>
    <w:p w14:paraId="2406BF66" w14:textId="6FD2B8C4" w:rsidR="008E6D03" w:rsidRDefault="00385E55" w:rsidP="008E6D03">
      <w:pPr>
        <w:pStyle w:val="ListParagraph"/>
        <w:numPr>
          <w:ilvl w:val="0"/>
          <w:numId w:val="1"/>
        </w:numPr>
        <w:rPr>
          <w:b/>
          <w:bCs/>
        </w:rPr>
      </w:pPr>
      <w:r>
        <w:t>6</w:t>
      </w:r>
      <w:r w:rsidRPr="00385E55">
        <w:rPr>
          <w:vertAlign w:val="superscript"/>
        </w:rPr>
        <w:t>th</w:t>
      </w:r>
      <w:r>
        <w:t xml:space="preserve"> July – </w:t>
      </w:r>
      <w:r w:rsidRPr="00385E55">
        <w:rPr>
          <w:b/>
          <w:bCs/>
        </w:rPr>
        <w:t>Professional Curiosity for those working with adults</w:t>
      </w:r>
    </w:p>
    <w:p w14:paraId="02073935" w14:textId="25D072BD" w:rsidR="00DF13F1" w:rsidRDefault="00DF13F1" w:rsidP="008E6D03">
      <w:pPr>
        <w:pStyle w:val="ListParagraph"/>
        <w:numPr>
          <w:ilvl w:val="0"/>
          <w:numId w:val="1"/>
        </w:numPr>
        <w:rPr>
          <w:b/>
          <w:bCs/>
        </w:rPr>
      </w:pPr>
      <w:r w:rsidRPr="00DF13F1">
        <w:t>7</w:t>
      </w:r>
      <w:r w:rsidRPr="00DF13F1">
        <w:rPr>
          <w:vertAlign w:val="superscript"/>
        </w:rPr>
        <w:t>th</w:t>
      </w:r>
      <w:r w:rsidRPr="00DF13F1">
        <w:t xml:space="preserve"> September</w:t>
      </w:r>
      <w:r>
        <w:rPr>
          <w:b/>
          <w:bCs/>
        </w:rPr>
        <w:t xml:space="preserve"> – Strengths based practice </w:t>
      </w:r>
    </w:p>
    <w:p w14:paraId="48CE7C0D" w14:textId="66931733" w:rsidR="00DF13F1" w:rsidRPr="00713E89" w:rsidRDefault="00DF13F1" w:rsidP="008E6D03">
      <w:pPr>
        <w:pStyle w:val="ListParagraph"/>
        <w:numPr>
          <w:ilvl w:val="0"/>
          <w:numId w:val="1"/>
        </w:numPr>
        <w:rPr>
          <w:rStyle w:val="normaltextrun"/>
          <w:b/>
          <w:bCs/>
        </w:rPr>
      </w:pPr>
      <w:r w:rsidRPr="00DF13F1">
        <w:t>5</w:t>
      </w:r>
      <w:r w:rsidRPr="00DF13F1">
        <w:rPr>
          <w:vertAlign w:val="superscript"/>
        </w:rPr>
        <w:t>th</w:t>
      </w:r>
      <w:r w:rsidRPr="00DF13F1">
        <w:t xml:space="preserve"> October</w:t>
      </w:r>
      <w:r>
        <w:rPr>
          <w:b/>
          <w:bCs/>
        </w:rPr>
        <w:t xml:space="preserve"> – Human Rights </w:t>
      </w:r>
    </w:p>
    <w:p w14:paraId="2E41A1E9" w14:textId="713EBD25" w:rsidR="00C95C73" w:rsidRPr="008E6D03" w:rsidRDefault="008E6D03" w:rsidP="008E6D03">
      <w:pPr>
        <w:rPr>
          <w:rStyle w:val="normaltextrun"/>
          <w:rFonts w:cstheme="minorHAnsi"/>
          <w:b/>
          <w:color w:val="2E74B5" w:themeColor="accent5" w:themeShade="BF"/>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6D03">
        <w:rPr>
          <w:rStyle w:val="normaltextrun"/>
          <w:rFonts w:cstheme="minorHAnsi"/>
          <w:b/>
          <w:color w:val="2E74B5" w:themeColor="accent5" w:themeShade="BF"/>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News and </w:t>
      </w:r>
      <w:proofErr w:type="gramStart"/>
      <w:r w:rsidRPr="008E6D03">
        <w:rPr>
          <w:rStyle w:val="normaltextrun"/>
          <w:rFonts w:cstheme="minorHAnsi"/>
          <w:b/>
          <w:color w:val="2E74B5" w:themeColor="accent5" w:themeShade="BF"/>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Updates;</w:t>
      </w:r>
      <w:proofErr w:type="gramEnd"/>
      <w:r w:rsidR="00C95C73" w:rsidRPr="008E6D03">
        <w:rPr>
          <w:rStyle w:val="normaltextrun"/>
          <w:rFonts w:cstheme="minorHAnsi"/>
          <w:b/>
          <w:color w:val="2E74B5" w:themeColor="accent5" w:themeShade="BF"/>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6FEE75A" w14:textId="4DCA7EFD" w:rsidR="007762D5" w:rsidRPr="0090208E" w:rsidRDefault="007762D5" w:rsidP="007762D5">
      <w:pPr>
        <w:pStyle w:val="paragraph"/>
        <w:numPr>
          <w:ilvl w:val="0"/>
          <w:numId w:val="2"/>
        </w:numPr>
        <w:spacing w:before="0" w:beforeAutospacing="0" w:after="0" w:afterAutospacing="0"/>
        <w:textAlignment w:val="baseline"/>
        <w:rPr>
          <w:rFonts w:asciiTheme="minorHAnsi" w:eastAsia="Times New Roman" w:hAnsiTheme="minorHAnsi" w:cstheme="minorHAnsi"/>
          <w:color w:val="606060"/>
          <w:sz w:val="22"/>
          <w:szCs w:val="22"/>
        </w:rPr>
      </w:pPr>
      <w:r w:rsidRPr="007762D5">
        <w:rPr>
          <w:rFonts w:asciiTheme="minorHAnsi" w:eastAsia="Times New Roman" w:hAnsiTheme="minorHAnsi" w:cstheme="minorHAnsi"/>
          <w:b/>
          <w:bCs/>
          <w:sz w:val="22"/>
          <w:szCs w:val="22"/>
        </w:rPr>
        <w:t>Supporting effective mental health service for deaf and hard of hearing people</w:t>
      </w:r>
      <w:r w:rsidR="006613D4" w:rsidRPr="007762D5">
        <w:rPr>
          <w:rFonts w:asciiTheme="minorHAnsi" w:eastAsia="Times New Roman" w:hAnsiTheme="minorHAnsi" w:cstheme="minorHAnsi"/>
          <w:sz w:val="22"/>
          <w:szCs w:val="22"/>
        </w:rPr>
        <w:t xml:space="preserve"> </w:t>
      </w:r>
      <w:r w:rsidRPr="007762D5">
        <w:rPr>
          <w:rFonts w:asciiTheme="minorHAnsi" w:eastAsia="Times New Roman" w:hAnsiTheme="minorHAnsi" w:cstheme="minorHAnsi"/>
          <w:color w:val="606060"/>
          <w:sz w:val="22"/>
          <w:szCs w:val="22"/>
        </w:rPr>
        <w:t>–</w:t>
      </w:r>
      <w:r w:rsidR="006613D4" w:rsidRPr="007762D5">
        <w:rPr>
          <w:rFonts w:asciiTheme="minorHAnsi" w:eastAsia="Times New Roman" w:hAnsiTheme="minorHAnsi" w:cstheme="minorHAnsi"/>
          <w:color w:val="606060"/>
          <w:sz w:val="22"/>
          <w:szCs w:val="22"/>
        </w:rPr>
        <w:t xml:space="preserve"> </w:t>
      </w:r>
      <w:r w:rsidRPr="007762D5">
        <w:rPr>
          <w:rFonts w:asciiTheme="minorHAnsi" w:eastAsia="Times New Roman" w:hAnsiTheme="minorHAnsi" w:cstheme="minorHAnsi"/>
          <w:sz w:val="22"/>
          <w:szCs w:val="22"/>
        </w:rPr>
        <w:t>Strategic Briefing on </w:t>
      </w:r>
      <w:hyperlink r:id="rId14" w:tgtFrame="_blank" w:history="1">
        <w:r w:rsidRPr="007762D5">
          <w:rPr>
            <w:rStyle w:val="Hyperlink"/>
            <w:rFonts w:asciiTheme="minorHAnsi" w:eastAsia="Times New Roman" w:hAnsiTheme="minorHAnsi" w:cstheme="minorHAnsi"/>
            <w:color w:val="2F5496" w:themeColor="accent1" w:themeShade="BF"/>
            <w:sz w:val="22"/>
            <w:szCs w:val="22"/>
          </w:rPr>
          <w:t>Developing effective and person-centred mental health support for Deaf and hard of hearing people</w:t>
        </w:r>
      </w:hyperlink>
      <w:r w:rsidRPr="007762D5">
        <w:rPr>
          <w:rFonts w:asciiTheme="minorHAnsi" w:eastAsia="Times New Roman" w:hAnsiTheme="minorHAnsi" w:cstheme="minorHAnsi"/>
          <w:sz w:val="22"/>
          <w:szCs w:val="22"/>
        </w:rPr>
        <w:t>.</w:t>
      </w:r>
      <w:r w:rsidRPr="007762D5">
        <w:rPr>
          <w:rFonts w:asciiTheme="minorHAnsi" w:eastAsia="Times New Roman" w:hAnsiTheme="minorHAnsi" w:cstheme="minorHAnsi"/>
          <w:sz w:val="22"/>
          <w:szCs w:val="22"/>
        </w:rPr>
        <w:t xml:space="preserve"> </w:t>
      </w:r>
      <w:r w:rsidRPr="007762D5">
        <w:rPr>
          <w:rFonts w:asciiTheme="minorHAnsi" w:hAnsiTheme="minorHAnsi" w:cstheme="minorHAnsi"/>
          <w:sz w:val="22"/>
          <w:szCs w:val="22"/>
        </w:rPr>
        <w:t>Th</w:t>
      </w:r>
      <w:r w:rsidRPr="007762D5">
        <w:rPr>
          <w:rFonts w:asciiTheme="minorHAnsi" w:hAnsiTheme="minorHAnsi" w:cstheme="minorHAnsi"/>
          <w:sz w:val="22"/>
          <w:szCs w:val="22"/>
        </w:rPr>
        <w:t>is</w:t>
      </w:r>
      <w:r w:rsidRPr="007762D5">
        <w:rPr>
          <w:rFonts w:asciiTheme="minorHAnsi" w:hAnsiTheme="minorHAnsi" w:cstheme="minorHAnsi"/>
          <w:sz w:val="22"/>
          <w:szCs w:val="22"/>
        </w:rPr>
        <w:t xml:space="preserve"> briefing aims to raise awareness of how Deaf and hard of hearing people may currently experience mental health support and to highlight ways in which leaders in health and social care can work </w:t>
      </w:r>
      <w:hyperlink r:id="rId15" w:tgtFrame="_blank" w:history="1">
        <w:r w:rsidRPr="009909B4">
          <w:rPr>
            <w:rStyle w:val="Hyperlink"/>
            <w:rFonts w:asciiTheme="minorHAnsi" w:hAnsiTheme="minorHAnsi" w:cstheme="minorHAnsi"/>
            <w:color w:val="2F5496" w:themeColor="accent1" w:themeShade="BF"/>
            <w:sz w:val="22"/>
            <w:szCs w:val="22"/>
          </w:rPr>
          <w:t>with Deaf and hard of hearing people</w:t>
        </w:r>
      </w:hyperlink>
      <w:r w:rsidRPr="007762D5">
        <w:rPr>
          <w:rFonts w:asciiTheme="minorHAnsi" w:hAnsiTheme="minorHAnsi" w:cstheme="minorHAnsi"/>
          <w:color w:val="606060"/>
          <w:sz w:val="22"/>
          <w:szCs w:val="22"/>
        </w:rPr>
        <w:t xml:space="preserve"> </w:t>
      </w:r>
      <w:r w:rsidRPr="007762D5">
        <w:rPr>
          <w:rFonts w:asciiTheme="minorHAnsi" w:hAnsiTheme="minorHAnsi" w:cstheme="minorHAnsi"/>
          <w:sz w:val="22"/>
          <w:szCs w:val="22"/>
        </w:rPr>
        <w:t xml:space="preserve">to </w:t>
      </w:r>
      <w:r w:rsidRPr="007762D5">
        <w:rPr>
          <w:rFonts w:asciiTheme="minorHAnsi" w:hAnsiTheme="minorHAnsi" w:cstheme="minorHAnsi"/>
          <w:sz w:val="22"/>
          <w:szCs w:val="22"/>
        </w:rPr>
        <w:lastRenderedPageBreak/>
        <w:t>improve mental health support.</w:t>
      </w:r>
      <w:r w:rsidRPr="007762D5">
        <w:rPr>
          <w:rFonts w:asciiTheme="minorHAnsi" w:hAnsiTheme="minorHAnsi" w:cstheme="minorHAnsi"/>
          <w:sz w:val="22"/>
          <w:szCs w:val="22"/>
        </w:rPr>
        <w:t xml:space="preserve"> </w:t>
      </w:r>
      <w:r w:rsidRPr="007762D5">
        <w:rPr>
          <w:rFonts w:asciiTheme="minorHAnsi" w:hAnsiTheme="minorHAnsi" w:cstheme="minorHAnsi"/>
          <w:sz w:val="22"/>
          <w:szCs w:val="22"/>
        </w:rPr>
        <w:t xml:space="preserve">In addition, </w:t>
      </w:r>
      <w:r w:rsidRPr="007762D5">
        <w:rPr>
          <w:rFonts w:asciiTheme="minorHAnsi" w:hAnsiTheme="minorHAnsi" w:cstheme="minorHAnsi"/>
          <w:sz w:val="22"/>
          <w:szCs w:val="22"/>
        </w:rPr>
        <w:t>this</w:t>
      </w:r>
      <w:r w:rsidRPr="007762D5">
        <w:rPr>
          <w:rFonts w:asciiTheme="minorHAnsi" w:hAnsiTheme="minorHAnsi" w:cstheme="minorHAnsi"/>
          <w:sz w:val="22"/>
          <w:szCs w:val="22"/>
        </w:rPr>
        <w:t xml:space="preserve"> </w:t>
      </w:r>
      <w:hyperlink r:id="rId16" w:tgtFrame="_blank" w:history="1">
        <w:r w:rsidRPr="009909B4">
          <w:rPr>
            <w:rStyle w:val="Hyperlink"/>
            <w:rFonts w:asciiTheme="minorHAnsi" w:hAnsiTheme="minorHAnsi" w:cstheme="minorHAnsi"/>
            <w:color w:val="2F5496" w:themeColor="accent1" w:themeShade="BF"/>
            <w:sz w:val="22"/>
            <w:szCs w:val="22"/>
          </w:rPr>
          <w:t>short British Sign Language (BSL) video</w:t>
        </w:r>
      </w:hyperlink>
      <w:r w:rsidRPr="007762D5">
        <w:rPr>
          <w:rFonts w:asciiTheme="minorHAnsi" w:hAnsiTheme="minorHAnsi" w:cstheme="minorHAnsi"/>
          <w:color w:val="2F5496" w:themeColor="accent1" w:themeShade="BF"/>
          <w:sz w:val="22"/>
          <w:szCs w:val="22"/>
        </w:rPr>
        <w:t xml:space="preserve"> </w:t>
      </w:r>
      <w:r w:rsidRPr="007762D5">
        <w:rPr>
          <w:rFonts w:asciiTheme="minorHAnsi" w:hAnsiTheme="minorHAnsi" w:cstheme="minorHAnsi"/>
          <w:sz w:val="22"/>
          <w:szCs w:val="22"/>
        </w:rPr>
        <w:t>highlights some of the key themes of the briefing, including  accessibility, awareness, and being mindful of how Deaf and hard of hearing people might identify – in order to support best practice in mental health support</w:t>
      </w:r>
      <w:r w:rsidRPr="007762D5">
        <w:rPr>
          <w:rFonts w:cstheme="minorHAnsi"/>
        </w:rPr>
        <w:t>.</w:t>
      </w:r>
    </w:p>
    <w:p w14:paraId="6C769A4E" w14:textId="77777777" w:rsidR="0090208E" w:rsidRPr="007762D5" w:rsidRDefault="0090208E" w:rsidP="0090208E">
      <w:pPr>
        <w:pStyle w:val="paragraph"/>
        <w:spacing w:before="0" w:beforeAutospacing="0" w:after="0" w:afterAutospacing="0"/>
        <w:ind w:left="720"/>
        <w:textAlignment w:val="baseline"/>
        <w:rPr>
          <w:rFonts w:asciiTheme="minorHAnsi" w:eastAsia="Times New Roman" w:hAnsiTheme="minorHAnsi" w:cstheme="minorHAnsi"/>
          <w:color w:val="606060"/>
          <w:sz w:val="22"/>
          <w:szCs w:val="22"/>
        </w:rPr>
      </w:pPr>
    </w:p>
    <w:p w14:paraId="5259B8CF" w14:textId="2D58FE50" w:rsidR="007762D5" w:rsidRPr="0090208E" w:rsidRDefault="007762D5" w:rsidP="007762D5">
      <w:pPr>
        <w:pStyle w:val="ListParagraph"/>
        <w:numPr>
          <w:ilvl w:val="0"/>
          <w:numId w:val="2"/>
        </w:numPr>
        <w:spacing w:line="240" w:lineRule="auto"/>
        <w:rPr>
          <w:rFonts w:eastAsia="Times New Roman" w:cstheme="minorHAnsi"/>
        </w:rPr>
      </w:pPr>
      <w:r w:rsidRPr="007762D5">
        <w:rPr>
          <w:rFonts w:eastAsia="Times New Roman" w:cstheme="minorHAnsi"/>
          <w:b/>
          <w:bCs/>
        </w:rPr>
        <w:t>Understanding suicide risk in family carers of disabled people, and people with long term illnesses</w:t>
      </w:r>
      <w:r w:rsidR="0090208E">
        <w:rPr>
          <w:rFonts w:eastAsia="Times New Roman" w:cstheme="minorHAnsi"/>
          <w:b/>
          <w:bCs/>
        </w:rPr>
        <w:t xml:space="preserve"> </w:t>
      </w:r>
      <w:r w:rsidR="006334C8" w:rsidRPr="007762D5">
        <w:rPr>
          <w:rFonts w:eastAsia="Times New Roman" w:cstheme="minorHAnsi"/>
          <w:b/>
          <w:bCs/>
        </w:rPr>
        <w:t xml:space="preserve">– </w:t>
      </w:r>
      <w:r w:rsidRPr="0090208E">
        <w:rPr>
          <w:rStyle w:val="Strong"/>
          <w:rFonts w:eastAsia="Times New Roman" w:cstheme="minorHAnsi"/>
          <w:b w:val="0"/>
          <w:bCs w:val="0"/>
        </w:rPr>
        <w:t>An emerging body of international research suggests family caregivers may be a high-risk group for suicide.</w:t>
      </w:r>
      <w:r w:rsidR="0090208E">
        <w:rPr>
          <w:rFonts w:eastAsia="Times New Roman" w:cstheme="minorHAnsi"/>
        </w:rPr>
        <w:t xml:space="preserve"> </w:t>
      </w:r>
      <w:r w:rsidRPr="0090208E">
        <w:rPr>
          <w:rFonts w:eastAsia="Times New Roman" w:cstheme="minorHAnsi"/>
        </w:rPr>
        <w:t>A</w:t>
      </w:r>
      <w:r w:rsidRPr="007762D5">
        <w:rPr>
          <w:rFonts w:eastAsia="Times New Roman" w:cstheme="minorHAnsi"/>
          <w:color w:val="606060"/>
        </w:rPr>
        <w:t> </w:t>
      </w:r>
      <w:hyperlink r:id="rId17" w:tgtFrame="_blank" w:history="1">
        <w:r w:rsidRPr="009909B4">
          <w:rPr>
            <w:rStyle w:val="Hyperlink"/>
            <w:rFonts w:eastAsia="Times New Roman" w:cstheme="minorHAnsi"/>
            <w:color w:val="2F5496" w:themeColor="accent1" w:themeShade="BF"/>
          </w:rPr>
          <w:t>review</w:t>
        </w:r>
      </w:hyperlink>
      <w:r w:rsidRPr="007762D5">
        <w:rPr>
          <w:rFonts w:eastAsia="Times New Roman" w:cstheme="minorHAnsi"/>
          <w:color w:val="606060"/>
        </w:rPr>
        <w:t> </w:t>
      </w:r>
      <w:r w:rsidRPr="0090208E">
        <w:rPr>
          <w:rFonts w:eastAsia="Times New Roman" w:cstheme="minorHAnsi"/>
        </w:rPr>
        <w:t xml:space="preserve">of forty-eight peer-reviewed journal articles that looked into carers experience of considering or completing suicide identified that there is a large </w:t>
      </w:r>
      <w:r w:rsidR="0090208E">
        <w:rPr>
          <w:rFonts w:eastAsia="Times New Roman" w:cstheme="minorHAnsi"/>
        </w:rPr>
        <w:t>r</w:t>
      </w:r>
      <w:r w:rsidRPr="0090208E">
        <w:rPr>
          <w:rFonts w:eastAsia="Times New Roman" w:cstheme="minorHAnsi"/>
        </w:rPr>
        <w:t xml:space="preserve">ange of research findings in terms of: </w:t>
      </w:r>
    </w:p>
    <w:p w14:paraId="5713C918" w14:textId="77777777" w:rsidR="007762D5" w:rsidRPr="0090208E" w:rsidRDefault="007762D5" w:rsidP="007762D5">
      <w:pPr>
        <w:numPr>
          <w:ilvl w:val="0"/>
          <w:numId w:val="6"/>
        </w:numPr>
        <w:spacing w:before="100" w:beforeAutospacing="1" w:after="100" w:afterAutospacing="1" w:line="240" w:lineRule="auto"/>
        <w:rPr>
          <w:rFonts w:eastAsia="Times New Roman" w:cstheme="minorHAnsi"/>
        </w:rPr>
      </w:pPr>
      <w:r w:rsidRPr="0090208E">
        <w:rPr>
          <w:rFonts w:eastAsia="Times New Roman" w:cstheme="minorHAnsi"/>
        </w:rPr>
        <w:t>the proportion of carers across studies that experience suicidal ideation (between 2.7 to 71%)</w:t>
      </w:r>
    </w:p>
    <w:p w14:paraId="2D168D23" w14:textId="77777777" w:rsidR="007762D5" w:rsidRPr="0090208E" w:rsidRDefault="007762D5" w:rsidP="007762D5">
      <w:pPr>
        <w:numPr>
          <w:ilvl w:val="0"/>
          <w:numId w:val="6"/>
        </w:numPr>
        <w:spacing w:before="100" w:beforeAutospacing="1" w:after="100" w:afterAutospacing="1" w:line="240" w:lineRule="auto"/>
        <w:rPr>
          <w:rFonts w:eastAsia="Times New Roman" w:cstheme="minorHAnsi"/>
        </w:rPr>
      </w:pPr>
      <w:r w:rsidRPr="0090208E">
        <w:rPr>
          <w:rFonts w:eastAsia="Times New Roman" w:cstheme="minorHAnsi"/>
        </w:rPr>
        <w:t>the impact of the type of caregiving relationship on suicide risk</w:t>
      </w:r>
    </w:p>
    <w:p w14:paraId="4C4E89BF" w14:textId="77777777" w:rsidR="0090208E" w:rsidRDefault="007762D5" w:rsidP="0090208E">
      <w:pPr>
        <w:numPr>
          <w:ilvl w:val="0"/>
          <w:numId w:val="6"/>
        </w:numPr>
        <w:spacing w:before="100" w:beforeAutospacing="1" w:after="100" w:afterAutospacing="1" w:line="240" w:lineRule="auto"/>
        <w:rPr>
          <w:rFonts w:eastAsia="Times New Roman" w:cstheme="minorHAnsi"/>
        </w:rPr>
      </w:pPr>
      <w:r w:rsidRPr="0090208E">
        <w:rPr>
          <w:rFonts w:eastAsia="Times New Roman" w:cstheme="minorHAnsi"/>
        </w:rPr>
        <w:t>the type of illness or impairment of the person being ‘cared for’ on suicide risk.</w:t>
      </w:r>
    </w:p>
    <w:p w14:paraId="39DFD9AD" w14:textId="13876F6E" w:rsidR="006334C8" w:rsidRPr="0090208E" w:rsidRDefault="007762D5" w:rsidP="0090208E">
      <w:pPr>
        <w:spacing w:before="100" w:beforeAutospacing="1" w:after="100" w:afterAutospacing="1" w:line="240" w:lineRule="auto"/>
        <w:ind w:left="720"/>
        <w:rPr>
          <w:rStyle w:val="Strong"/>
          <w:rFonts w:eastAsia="Times New Roman" w:cstheme="minorHAnsi"/>
          <w:b w:val="0"/>
          <w:bCs w:val="0"/>
        </w:rPr>
      </w:pPr>
      <w:r w:rsidRPr="0090208E">
        <w:rPr>
          <w:rFonts w:eastAsia="Times New Roman" w:cstheme="minorHAnsi"/>
        </w:rPr>
        <w:t xml:space="preserve">In this video learning resource, Siobhan </w:t>
      </w:r>
      <w:proofErr w:type="spellStart"/>
      <w:r w:rsidRPr="0090208E">
        <w:rPr>
          <w:rFonts w:eastAsia="Times New Roman" w:cstheme="minorHAnsi"/>
        </w:rPr>
        <w:t>O’Dwyer</w:t>
      </w:r>
      <w:proofErr w:type="spellEnd"/>
      <w:r w:rsidRPr="0090208E">
        <w:rPr>
          <w:rFonts w:eastAsia="Times New Roman" w:cstheme="minorHAnsi"/>
        </w:rPr>
        <w:t xml:space="preserve"> discusses the findings and practice implications of an international review into suicide risk in family carers of disabled people and people with long term illnesses.</w:t>
      </w:r>
      <w:r w:rsidR="0090208E" w:rsidRPr="0090208E">
        <w:rPr>
          <w:rFonts w:eastAsia="Times New Roman" w:cstheme="minorHAnsi"/>
          <w:color w:val="606060"/>
        </w:rPr>
        <w:t xml:space="preserve"> </w:t>
      </w:r>
      <w:hyperlink r:id="rId18" w:tgtFrame="_blank" w:history="1">
        <w:r w:rsidRPr="009909B4">
          <w:rPr>
            <w:rStyle w:val="Hyperlink"/>
            <w:rFonts w:eastAsia="Times New Roman" w:cstheme="minorHAnsi"/>
            <w:color w:val="2F5496" w:themeColor="accent1" w:themeShade="BF"/>
          </w:rPr>
          <w:t>View the resource</w:t>
        </w:r>
      </w:hyperlink>
      <w:r w:rsidRPr="0090208E">
        <w:rPr>
          <w:rFonts w:eastAsia="Times New Roman" w:cstheme="minorHAnsi"/>
          <w:color w:val="2F5496" w:themeColor="accent1" w:themeShade="BF"/>
        </w:rPr>
        <w:t>.</w:t>
      </w:r>
    </w:p>
    <w:p w14:paraId="6221EF52" w14:textId="5AD6FEDD" w:rsidR="006334C8" w:rsidRPr="0090208E" w:rsidRDefault="006334C8" w:rsidP="006334C8">
      <w:pPr>
        <w:pStyle w:val="ListParagraph"/>
        <w:numPr>
          <w:ilvl w:val="0"/>
          <w:numId w:val="5"/>
        </w:numPr>
        <w:spacing w:before="240" w:after="240" w:line="240" w:lineRule="auto"/>
        <w:ind w:left="714" w:hanging="357"/>
        <w:rPr>
          <w:rFonts w:ascii="Trebuchet MS" w:hAnsi="Trebuchet MS"/>
          <w:color w:val="606060"/>
          <w:sz w:val="23"/>
          <w:szCs w:val="23"/>
        </w:rPr>
      </w:pPr>
      <w:r>
        <w:rPr>
          <w:rFonts w:eastAsia="Times New Roman" w:cstheme="minorHAnsi"/>
          <w:b/>
          <w:bCs/>
        </w:rPr>
        <w:t>Evidence and Social Care Future</w:t>
      </w:r>
      <w:r w:rsidR="00B91FE8" w:rsidRPr="00B91FE8">
        <w:rPr>
          <w:rFonts w:eastAsia="Times New Roman" w:cstheme="minorHAnsi"/>
        </w:rPr>
        <w:t xml:space="preserve"> </w:t>
      </w:r>
      <w:r>
        <w:rPr>
          <w:rFonts w:eastAsia="Times New Roman" w:cstheme="minorHAnsi"/>
          <w:color w:val="606060"/>
        </w:rPr>
        <w:t>–</w:t>
      </w:r>
      <w:r w:rsidR="00B91FE8" w:rsidRPr="00B91FE8">
        <w:rPr>
          <w:rFonts w:eastAsia="Times New Roman" w:cstheme="minorHAnsi"/>
          <w:color w:val="606060"/>
        </w:rPr>
        <w:t xml:space="preserve"> </w:t>
      </w:r>
      <w:proofErr w:type="spellStart"/>
      <w:r w:rsidRPr="006334C8">
        <w:rPr>
          <w:rFonts w:eastAsia="Times New Roman" w:cstheme="minorHAnsi"/>
          <w:color w:val="000000" w:themeColor="text1"/>
        </w:rPr>
        <w:t>R</w:t>
      </w:r>
      <w:r w:rsidR="008915BE">
        <w:rPr>
          <w:rFonts w:eastAsia="Times New Roman" w:cstheme="minorHAnsi"/>
          <w:color w:val="000000" w:themeColor="text1"/>
        </w:rPr>
        <w:t>i</w:t>
      </w:r>
      <w:r w:rsidRPr="006334C8">
        <w:rPr>
          <w:rFonts w:eastAsia="Times New Roman" w:cstheme="minorHAnsi"/>
          <w:color w:val="000000" w:themeColor="text1"/>
        </w:rPr>
        <w:t>P</w:t>
      </w:r>
      <w:r w:rsidR="008915BE">
        <w:rPr>
          <w:rFonts w:eastAsia="Times New Roman" w:cstheme="minorHAnsi"/>
          <w:color w:val="000000" w:themeColor="text1"/>
        </w:rPr>
        <w:t>f</w:t>
      </w:r>
      <w:r w:rsidRPr="006334C8">
        <w:rPr>
          <w:rFonts w:eastAsia="Times New Roman" w:cstheme="minorHAnsi"/>
          <w:color w:val="000000" w:themeColor="text1"/>
        </w:rPr>
        <w:t>A</w:t>
      </w:r>
      <w:proofErr w:type="spellEnd"/>
      <w:r w:rsidRPr="006334C8">
        <w:rPr>
          <w:rFonts w:eastAsia="Times New Roman" w:cstheme="minorHAnsi"/>
          <w:color w:val="000000" w:themeColor="text1"/>
        </w:rPr>
        <w:t xml:space="preserve"> are delighted to be working with Social Care Future on a co-produced Evidence Review.</w:t>
      </w:r>
      <w:r>
        <w:rPr>
          <w:rFonts w:eastAsia="Times New Roman" w:cstheme="minorHAnsi"/>
          <w:color w:val="000000" w:themeColor="text1"/>
        </w:rPr>
        <w:t xml:space="preserve"> </w:t>
      </w:r>
      <w:r w:rsidRPr="006334C8">
        <w:rPr>
          <w:rFonts w:eastAsia="Times New Roman" w:cstheme="minorHAnsi"/>
          <w:color w:val="000000" w:themeColor="text1"/>
        </w:rPr>
        <w:t>The review will start from the principle that the debate on adult social care has been under-imagined. What would social care look like if it truly began from the wellbeing principle – as defined by those with lived experience of social care?</w:t>
      </w:r>
      <w:r w:rsidRPr="006334C8">
        <w:rPr>
          <w:rFonts w:eastAsia="Times New Roman" w:cstheme="minorHAnsi"/>
          <w:color w:val="000000" w:themeColor="text1"/>
        </w:rPr>
        <w:br/>
        <w:t>Social care values are about empowerment and a positive future – and this is underpinned by the legal and policy context. The review will be co-authored and co-designed by people with lived experience of adult social care</w:t>
      </w:r>
      <w:r w:rsidRPr="006334C8">
        <w:rPr>
          <w:rFonts w:eastAsia="Times New Roman" w:cstheme="minorHAnsi"/>
          <w:color w:val="606060"/>
        </w:rPr>
        <w:t>.</w:t>
      </w:r>
      <w:r>
        <w:rPr>
          <w:rFonts w:eastAsia="Times New Roman" w:cstheme="minorHAnsi"/>
          <w:color w:val="606060"/>
        </w:rPr>
        <w:t xml:space="preserve"> </w:t>
      </w:r>
      <w:hyperlink r:id="rId19" w:tgtFrame="_blank" w:history="1">
        <w:r w:rsidRPr="008915BE">
          <w:rPr>
            <w:rStyle w:val="Hyperlink"/>
            <w:rFonts w:eastAsia="Times New Roman" w:cstheme="minorHAnsi"/>
            <w:color w:val="2F5496" w:themeColor="accent1" w:themeShade="BF"/>
          </w:rPr>
          <w:t>Find out more</w:t>
        </w:r>
      </w:hyperlink>
      <w:r w:rsidRPr="006334C8">
        <w:rPr>
          <w:rFonts w:eastAsia="Times New Roman" w:cstheme="minorHAnsi"/>
          <w:color w:val="2F5496" w:themeColor="accent1" w:themeShade="BF"/>
        </w:rPr>
        <w:t xml:space="preserve"> </w:t>
      </w:r>
      <w:r w:rsidRPr="006334C8">
        <w:rPr>
          <w:rFonts w:eastAsia="Times New Roman" w:cstheme="minorHAnsi"/>
          <w:color w:val="000000" w:themeColor="text1"/>
        </w:rPr>
        <w:t>here.</w:t>
      </w:r>
    </w:p>
    <w:p w14:paraId="41B1EC53" w14:textId="77777777" w:rsidR="0090208E" w:rsidRPr="006334C8" w:rsidRDefault="0090208E" w:rsidP="0090208E">
      <w:pPr>
        <w:pStyle w:val="ListParagraph"/>
        <w:spacing w:before="240" w:after="240" w:line="240" w:lineRule="auto"/>
        <w:ind w:left="714"/>
        <w:rPr>
          <w:rFonts w:ascii="Trebuchet MS" w:hAnsi="Trebuchet MS"/>
          <w:color w:val="606060"/>
          <w:sz w:val="23"/>
          <w:szCs w:val="23"/>
        </w:rPr>
      </w:pPr>
    </w:p>
    <w:p w14:paraId="25B9AB4D" w14:textId="49740A04" w:rsidR="007007AF" w:rsidRPr="008915BE" w:rsidRDefault="0090208E" w:rsidP="008915BE">
      <w:pPr>
        <w:pStyle w:val="ListParagraph"/>
        <w:numPr>
          <w:ilvl w:val="0"/>
          <w:numId w:val="5"/>
        </w:numPr>
        <w:spacing w:before="240" w:after="240" w:line="240" w:lineRule="auto"/>
        <w:ind w:left="714" w:hanging="357"/>
        <w:rPr>
          <w:rFonts w:cstheme="minorHAnsi"/>
          <w:color w:val="606060"/>
        </w:rPr>
      </w:pPr>
      <w:r>
        <w:rPr>
          <w:rFonts w:eastAsia="Times New Roman" w:cstheme="minorHAnsi"/>
          <w:b/>
          <w:bCs/>
          <w:color w:val="000000" w:themeColor="text1"/>
        </w:rPr>
        <w:t>Loneliness and Mental Health</w:t>
      </w:r>
      <w:r w:rsidR="008E6D03">
        <w:rPr>
          <w:rFonts w:eastAsia="Times New Roman" w:cstheme="minorHAnsi"/>
          <w:color w:val="000000" w:themeColor="text1"/>
        </w:rPr>
        <w:t xml:space="preserve"> </w:t>
      </w:r>
      <w:r w:rsidR="006334C8">
        <w:rPr>
          <w:rFonts w:eastAsia="Times New Roman" w:cstheme="minorHAnsi"/>
          <w:color w:val="000000" w:themeColor="text1"/>
        </w:rPr>
        <w:t>–</w:t>
      </w:r>
      <w:r>
        <w:rPr>
          <w:rFonts w:eastAsia="Times New Roman" w:cstheme="minorHAnsi"/>
          <w:color w:val="000000" w:themeColor="text1"/>
        </w:rPr>
        <w:t xml:space="preserve"> </w:t>
      </w:r>
      <w:r w:rsidRPr="0090208E">
        <w:rPr>
          <w:rFonts w:eastAsia="Times New Roman" w:cstheme="minorHAnsi"/>
        </w:rPr>
        <w:t>We have brought together a range of Research in Practice resources on loneliness and mental health, including our open access recorded webinar on </w:t>
      </w:r>
      <w:hyperlink r:id="rId20" w:tgtFrame="_blank" w:history="1">
        <w:r w:rsidRPr="008915BE">
          <w:rPr>
            <w:rStyle w:val="Hyperlink"/>
            <w:rFonts w:eastAsia="Times New Roman" w:cstheme="minorHAnsi"/>
            <w:color w:val="2F5496" w:themeColor="accent1" w:themeShade="BF"/>
          </w:rPr>
          <w:t>loneliness and social connection</w:t>
        </w:r>
      </w:hyperlink>
      <w:r w:rsidRPr="0090208E">
        <w:rPr>
          <w:rFonts w:eastAsia="Times New Roman" w:cstheme="minorHAnsi"/>
          <w:color w:val="606060"/>
        </w:rPr>
        <w:t xml:space="preserve">, </w:t>
      </w:r>
      <w:r w:rsidRPr="0090208E">
        <w:rPr>
          <w:rFonts w:eastAsia="Times New Roman" w:cstheme="minorHAnsi"/>
        </w:rPr>
        <w:t>exploring best practice in response to social isolation, particularly during the COVID-19 pandemic which brought with it lockdowns and physical distancing. </w:t>
      </w:r>
      <w:hyperlink r:id="rId21" w:tgtFrame="_blank" w:history="1">
        <w:r w:rsidRPr="008915BE">
          <w:rPr>
            <w:rStyle w:val="Hyperlink"/>
            <w:rFonts w:eastAsia="Times New Roman" w:cstheme="minorHAnsi"/>
            <w:color w:val="2F5496" w:themeColor="accent1" w:themeShade="BF"/>
          </w:rPr>
          <w:t>Find out more</w:t>
        </w:r>
      </w:hyperlink>
    </w:p>
    <w:p w14:paraId="3920ABB9" w14:textId="77777777" w:rsidR="008915BE" w:rsidRPr="008915BE" w:rsidRDefault="008915BE" w:rsidP="008915BE">
      <w:pPr>
        <w:pStyle w:val="ListParagraph"/>
        <w:rPr>
          <w:rFonts w:cstheme="minorHAnsi"/>
          <w:color w:val="606060"/>
        </w:rPr>
      </w:pPr>
    </w:p>
    <w:p w14:paraId="03B10530" w14:textId="77777777" w:rsidR="008915BE" w:rsidRPr="008915BE" w:rsidRDefault="008915BE" w:rsidP="008915BE">
      <w:pPr>
        <w:pStyle w:val="ListParagraph"/>
        <w:spacing w:before="240" w:after="240" w:line="240" w:lineRule="auto"/>
        <w:ind w:left="714"/>
        <w:rPr>
          <w:rFonts w:cstheme="minorHAnsi"/>
          <w:color w:val="606060"/>
        </w:rPr>
      </w:pPr>
    </w:p>
    <w:p w14:paraId="71BE9170" w14:textId="706130D8" w:rsidR="00455E94" w:rsidRPr="00455E94" w:rsidRDefault="007007AF" w:rsidP="00455E94">
      <w:pPr>
        <w:pStyle w:val="ListParagraph"/>
        <w:numPr>
          <w:ilvl w:val="0"/>
          <w:numId w:val="5"/>
        </w:numPr>
        <w:spacing w:before="240" w:after="240" w:line="240" w:lineRule="auto"/>
        <w:ind w:left="714" w:hanging="357"/>
        <w:rPr>
          <w:rFonts w:ascii="Trebuchet MS" w:hAnsi="Trebuchet MS"/>
          <w:color w:val="606060"/>
          <w:sz w:val="23"/>
          <w:szCs w:val="23"/>
        </w:rPr>
      </w:pPr>
      <w:r w:rsidRPr="009C28B9">
        <w:rPr>
          <w:rFonts w:eastAsia="Times New Roman" w:cstheme="minorHAnsi"/>
          <w:b/>
          <w:bCs/>
          <w:color w:val="000000" w:themeColor="text1"/>
        </w:rPr>
        <w:t>Enabling people living with dementia to lead research</w:t>
      </w:r>
      <w:r w:rsidR="008E6D03" w:rsidRPr="009C28B9">
        <w:rPr>
          <w:rFonts w:eastAsia="Times New Roman" w:cstheme="minorHAnsi"/>
          <w:b/>
          <w:bCs/>
          <w:color w:val="000000" w:themeColor="text1"/>
        </w:rPr>
        <w:t xml:space="preserve"> </w:t>
      </w:r>
      <w:r w:rsidR="006334C8" w:rsidRPr="009C28B9">
        <w:rPr>
          <w:rFonts w:eastAsia="Times New Roman" w:cstheme="minorHAnsi"/>
          <w:b/>
          <w:bCs/>
          <w:color w:val="000000" w:themeColor="text1"/>
        </w:rPr>
        <w:t>–</w:t>
      </w:r>
      <w:r w:rsidR="008E6D03" w:rsidRPr="009C28B9">
        <w:rPr>
          <w:rFonts w:eastAsia="Times New Roman" w:cstheme="minorHAnsi"/>
          <w:color w:val="000000" w:themeColor="text1"/>
        </w:rPr>
        <w:t xml:space="preserve"> </w:t>
      </w:r>
      <w:r w:rsidR="009C28B9" w:rsidRPr="009C28B9">
        <w:rPr>
          <w:rFonts w:cstheme="minorHAnsi"/>
        </w:rPr>
        <w:t>Drawing on the </w:t>
      </w:r>
      <w:hyperlink r:id="rId22" w:tgtFrame="_blank" w:history="1">
        <w:r w:rsidR="009C28B9" w:rsidRPr="008915BE">
          <w:rPr>
            <w:rStyle w:val="Hyperlink"/>
            <w:rFonts w:cstheme="minorHAnsi"/>
            <w:color w:val="2F5496" w:themeColor="accent1" w:themeShade="BF"/>
          </w:rPr>
          <w:t>Dementia Enquirers Project</w:t>
        </w:r>
      </w:hyperlink>
      <w:r w:rsidR="009C28B9" w:rsidRPr="008915BE">
        <w:rPr>
          <w:rFonts w:cstheme="minorHAnsi"/>
          <w:color w:val="2F5496" w:themeColor="accent1" w:themeShade="BF"/>
        </w:rPr>
        <w:t xml:space="preserve">, </w:t>
      </w:r>
      <w:r w:rsidR="009C28B9" w:rsidRPr="009C28B9">
        <w:rPr>
          <w:rFonts w:cstheme="minorHAnsi"/>
        </w:rPr>
        <w:t>our</w:t>
      </w:r>
      <w:r w:rsidR="009C28B9" w:rsidRPr="009C28B9">
        <w:rPr>
          <w:rFonts w:cstheme="minorHAnsi"/>
          <w:color w:val="606060"/>
        </w:rPr>
        <w:t> </w:t>
      </w:r>
      <w:hyperlink r:id="rId23" w:tgtFrame="_blank" w:history="1">
        <w:r w:rsidR="009C28B9" w:rsidRPr="008915BE">
          <w:rPr>
            <w:rStyle w:val="Hyperlink"/>
            <w:rFonts w:cstheme="minorHAnsi"/>
            <w:color w:val="2F5496" w:themeColor="accent1" w:themeShade="BF"/>
          </w:rPr>
          <w:t>recorded webinar</w:t>
        </w:r>
      </w:hyperlink>
      <w:r w:rsidR="009C28B9" w:rsidRPr="009C28B9">
        <w:rPr>
          <w:rFonts w:cstheme="minorHAnsi"/>
          <w:color w:val="606060"/>
        </w:rPr>
        <w:t> </w:t>
      </w:r>
      <w:r w:rsidR="009C28B9" w:rsidRPr="009C28B9">
        <w:rPr>
          <w:rFonts w:cstheme="minorHAnsi"/>
        </w:rPr>
        <w:t>explores how people living with dementia can go beyond ‘patient and public involvement' and be ‘in the driving seat’ of research. In the </w:t>
      </w:r>
      <w:hyperlink r:id="rId24" w:tgtFrame="_blank" w:history="1">
        <w:r w:rsidR="009C28B9" w:rsidRPr="008915BE">
          <w:rPr>
            <w:rStyle w:val="Hyperlink"/>
            <w:rFonts w:cstheme="minorHAnsi"/>
            <w:color w:val="2F5496" w:themeColor="accent1" w:themeShade="BF"/>
          </w:rPr>
          <w:t>webinar</w:t>
        </w:r>
      </w:hyperlink>
      <w:r w:rsidR="009C28B9" w:rsidRPr="009C28B9">
        <w:rPr>
          <w:rFonts w:cstheme="minorHAnsi"/>
          <w:color w:val="606060"/>
        </w:rPr>
        <w:t xml:space="preserve">, </w:t>
      </w:r>
      <w:r w:rsidR="009C28B9" w:rsidRPr="009C28B9">
        <w:rPr>
          <w:rFonts w:cstheme="minorHAnsi"/>
        </w:rPr>
        <w:t>we discuss the benefits of this approach, the barriers people encounter and how people can be supported without being taken over.</w:t>
      </w:r>
      <w:r w:rsidR="009C28B9" w:rsidRPr="009C28B9">
        <w:rPr>
          <w:rFonts w:cstheme="minorHAnsi"/>
        </w:rPr>
        <w:t xml:space="preserve"> </w:t>
      </w:r>
      <w:r w:rsidR="009C28B9" w:rsidRPr="009C28B9">
        <w:rPr>
          <w:rFonts w:cstheme="minorHAnsi"/>
        </w:rPr>
        <w:t>In addition, our </w:t>
      </w:r>
      <w:hyperlink r:id="rId25" w:tgtFrame="_blank" w:history="1">
        <w:r w:rsidR="009C28B9" w:rsidRPr="008915BE">
          <w:rPr>
            <w:rStyle w:val="Hyperlink"/>
            <w:rFonts w:cstheme="minorHAnsi"/>
            <w:color w:val="2F5496" w:themeColor="accent1" w:themeShade="BF"/>
          </w:rPr>
          <w:t>toolkit</w:t>
        </w:r>
      </w:hyperlink>
      <w:r w:rsidR="009C28B9" w:rsidRPr="008915BE">
        <w:rPr>
          <w:rFonts w:cstheme="minorHAnsi"/>
          <w:color w:val="2F5496" w:themeColor="accent1" w:themeShade="BF"/>
        </w:rPr>
        <w:t> </w:t>
      </w:r>
      <w:r w:rsidR="009C28B9" w:rsidRPr="009C28B9">
        <w:rPr>
          <w:rFonts w:cstheme="minorHAnsi"/>
        </w:rPr>
        <w:t>provides practical methods and background information to help you think about the involvement of people living with dementia, particularly in your service or workplace.</w:t>
      </w:r>
    </w:p>
    <w:p w14:paraId="5B9BB4AB" w14:textId="77777777" w:rsidR="00455E94" w:rsidRPr="00455E94" w:rsidRDefault="00455E94" w:rsidP="00455E94">
      <w:pPr>
        <w:pStyle w:val="ListParagraph"/>
        <w:spacing w:before="240" w:after="240" w:line="240" w:lineRule="auto"/>
        <w:ind w:left="714"/>
        <w:rPr>
          <w:rFonts w:ascii="Trebuchet MS" w:hAnsi="Trebuchet MS"/>
          <w:color w:val="606060"/>
          <w:sz w:val="23"/>
          <w:szCs w:val="23"/>
        </w:rPr>
      </w:pPr>
    </w:p>
    <w:p w14:paraId="11A9260A" w14:textId="0B0B62A8" w:rsidR="00455E94" w:rsidRPr="00455E94" w:rsidRDefault="00455E94" w:rsidP="00455E94">
      <w:pPr>
        <w:pStyle w:val="ListParagraph"/>
        <w:numPr>
          <w:ilvl w:val="0"/>
          <w:numId w:val="5"/>
        </w:numPr>
        <w:spacing w:before="240" w:after="240" w:line="240" w:lineRule="auto"/>
        <w:rPr>
          <w:rFonts w:cstheme="minorHAnsi"/>
          <w:color w:val="606060"/>
        </w:rPr>
      </w:pPr>
      <w:r w:rsidRPr="00455E94">
        <w:rPr>
          <w:rFonts w:cstheme="minorHAnsi"/>
          <w:b/>
          <w:bCs/>
        </w:rPr>
        <w:t>The power of small gestures; Home visits and social work</w:t>
      </w:r>
      <w:r w:rsidRPr="00455E94">
        <w:rPr>
          <w:rFonts w:cstheme="minorHAnsi"/>
        </w:rPr>
        <w:t xml:space="preserve"> - </w:t>
      </w:r>
      <w:r w:rsidRPr="00455E94">
        <w:rPr>
          <w:rFonts w:eastAsia="Times New Roman" w:cstheme="minorHAnsi"/>
        </w:rPr>
        <w:t>Co-produced research has found that central to the success of home visits are the small gestures social workers engage in that demonstrate their respect for the person as host</w:t>
      </w:r>
      <w:r w:rsidRPr="00455E94">
        <w:rPr>
          <w:rFonts w:eastAsia="Times New Roman" w:cstheme="minorHAnsi"/>
          <w:color w:val="606060"/>
        </w:rPr>
        <w:t>.</w:t>
      </w:r>
      <w:r w:rsidRPr="00455E94">
        <w:rPr>
          <w:rFonts w:eastAsia="Times New Roman" w:cstheme="minorHAnsi"/>
          <w:color w:val="606060"/>
        </w:rPr>
        <w:t xml:space="preserve"> </w:t>
      </w:r>
      <w:hyperlink r:id="rId26" w:tgtFrame="_blank" w:history="1">
        <w:r w:rsidRPr="008915BE">
          <w:rPr>
            <w:rStyle w:val="Hyperlink"/>
            <w:rFonts w:eastAsia="Times New Roman" w:cstheme="minorHAnsi"/>
            <w:color w:val="2F5496" w:themeColor="accent1" w:themeShade="BF"/>
          </w:rPr>
          <w:t>Read the blog</w:t>
        </w:r>
      </w:hyperlink>
      <w:r w:rsidR="009C28B9" w:rsidRPr="00455E94">
        <w:rPr>
          <w:rFonts w:cstheme="minorHAnsi"/>
          <w:color w:val="606060"/>
        </w:rPr>
        <w:br/>
      </w:r>
    </w:p>
    <w:p w14:paraId="0CF44288" w14:textId="6EE590BC" w:rsidR="00455E94" w:rsidRPr="009909B4" w:rsidRDefault="00455E94" w:rsidP="00455E94">
      <w:pPr>
        <w:pStyle w:val="ListParagraph"/>
        <w:numPr>
          <w:ilvl w:val="0"/>
          <w:numId w:val="5"/>
        </w:numPr>
        <w:spacing w:line="240" w:lineRule="auto"/>
        <w:rPr>
          <w:rFonts w:eastAsia="Times New Roman" w:cstheme="minorHAnsi"/>
          <w:color w:val="606060"/>
        </w:rPr>
      </w:pPr>
      <w:r w:rsidRPr="00455E94">
        <w:rPr>
          <w:rFonts w:cstheme="minorHAnsi"/>
          <w:b/>
          <w:bCs/>
        </w:rPr>
        <w:t>Supporting adults and young people who are carers</w:t>
      </w:r>
      <w:r w:rsidRPr="00455E94">
        <w:rPr>
          <w:rFonts w:cstheme="minorHAnsi"/>
        </w:rPr>
        <w:t xml:space="preserve"> - </w:t>
      </w:r>
      <w:r w:rsidRPr="00455E94">
        <w:rPr>
          <w:rFonts w:eastAsia="Times New Roman" w:cstheme="minorHAnsi"/>
        </w:rPr>
        <w:t>Experiences of caring will be unique to individual carers and the people they care for. Our Practice Tool</w:t>
      </w:r>
      <w:r w:rsidRPr="00455E94">
        <w:rPr>
          <w:rFonts w:eastAsia="Times New Roman" w:cstheme="minorHAnsi"/>
          <w:color w:val="606060"/>
        </w:rPr>
        <w:t xml:space="preserve"> </w:t>
      </w:r>
      <w:r w:rsidRPr="00455E94">
        <w:rPr>
          <w:rFonts w:eastAsia="Times New Roman" w:cstheme="minorHAnsi"/>
        </w:rPr>
        <w:t>on</w:t>
      </w:r>
      <w:r w:rsidRPr="008915BE">
        <w:rPr>
          <w:rFonts w:eastAsia="Times New Roman" w:cstheme="minorHAnsi"/>
          <w:color w:val="606060"/>
        </w:rPr>
        <w:t> </w:t>
      </w:r>
      <w:hyperlink r:id="rId27" w:tgtFrame="_blank" w:history="1">
        <w:r w:rsidRPr="008915BE">
          <w:rPr>
            <w:rStyle w:val="Hyperlink"/>
            <w:rFonts w:eastAsia="Times New Roman" w:cstheme="minorHAnsi"/>
            <w:color w:val="2F5496" w:themeColor="accent1" w:themeShade="BF"/>
          </w:rPr>
          <w:t>responding to the voice of older carers – building on what works</w:t>
        </w:r>
      </w:hyperlink>
      <w:r w:rsidRPr="00455E94">
        <w:rPr>
          <w:rFonts w:eastAsia="Times New Roman" w:cstheme="minorHAnsi"/>
          <w:color w:val="606060"/>
        </w:rPr>
        <w:t> </w:t>
      </w:r>
      <w:r w:rsidRPr="00455E94">
        <w:rPr>
          <w:rFonts w:eastAsia="Times New Roman" w:cstheme="minorHAnsi"/>
        </w:rPr>
        <w:t xml:space="preserve">aims to ensure that carers views and </w:t>
      </w:r>
      <w:r w:rsidRPr="00455E94">
        <w:rPr>
          <w:rFonts w:eastAsia="Times New Roman" w:cstheme="minorHAnsi"/>
        </w:rPr>
        <w:lastRenderedPageBreak/>
        <w:t>experiences are heard and reflected in order to support meaningful decision-making. Additionally, our </w:t>
      </w:r>
      <w:hyperlink r:id="rId28" w:tgtFrame="_blank" w:history="1">
        <w:r w:rsidRPr="008915BE">
          <w:rPr>
            <w:rStyle w:val="Hyperlink"/>
            <w:rFonts w:eastAsia="Times New Roman" w:cstheme="minorHAnsi"/>
            <w:color w:val="2F5496" w:themeColor="accent1" w:themeShade="BF"/>
          </w:rPr>
          <w:t>open access carers website</w:t>
        </w:r>
      </w:hyperlink>
      <w:r w:rsidRPr="00455E94">
        <w:rPr>
          <w:rFonts w:eastAsia="Times New Roman" w:cstheme="minorHAnsi"/>
          <w:color w:val="606060"/>
        </w:rPr>
        <w:t> </w:t>
      </w:r>
      <w:r w:rsidRPr="00455E94">
        <w:rPr>
          <w:rFonts w:eastAsia="Times New Roman" w:cstheme="minorHAnsi"/>
        </w:rPr>
        <w:t xml:space="preserve">contains resources that give an insight into the different types of caring, some of the common challenges experienced by carers and guidance for working with them effectively. </w:t>
      </w:r>
      <w:hyperlink r:id="rId29" w:tgtFrame="_blank" w:history="1">
        <w:r w:rsidRPr="008915BE">
          <w:rPr>
            <w:rStyle w:val="Hyperlink"/>
            <w:rFonts w:cstheme="minorHAnsi"/>
            <w:color w:val="2F5496" w:themeColor="accent1" w:themeShade="BF"/>
          </w:rPr>
          <w:t>Find out more</w:t>
        </w:r>
      </w:hyperlink>
    </w:p>
    <w:p w14:paraId="77EE638C" w14:textId="77777777" w:rsidR="009909B4" w:rsidRPr="00455E94" w:rsidRDefault="009909B4" w:rsidP="009909B4">
      <w:pPr>
        <w:pStyle w:val="ListParagraph"/>
        <w:spacing w:line="240" w:lineRule="auto"/>
        <w:rPr>
          <w:rFonts w:eastAsia="Times New Roman" w:cstheme="minorHAnsi"/>
          <w:color w:val="606060"/>
        </w:rPr>
      </w:pPr>
    </w:p>
    <w:p w14:paraId="224DE74B" w14:textId="77777777" w:rsidR="009909B4" w:rsidRPr="009909B4" w:rsidRDefault="00713E89" w:rsidP="009909B4">
      <w:pPr>
        <w:pStyle w:val="ListParagraph"/>
        <w:numPr>
          <w:ilvl w:val="0"/>
          <w:numId w:val="5"/>
        </w:numPr>
        <w:spacing w:line="240" w:lineRule="auto"/>
        <w:ind w:left="714" w:hanging="357"/>
        <w:rPr>
          <w:rFonts w:eastAsia="Times New Roman" w:cstheme="minorHAnsi"/>
          <w:color w:val="606060"/>
        </w:rPr>
      </w:pPr>
      <w:r w:rsidRPr="009909B4">
        <w:rPr>
          <w:rFonts w:eastAsia="Times New Roman" w:cstheme="minorHAnsi"/>
          <w:b/>
          <w:bCs/>
          <w:color w:val="000000" w:themeColor="text1"/>
        </w:rPr>
        <w:t>Case law summaries –</w:t>
      </w:r>
      <w:r w:rsidR="009909B4" w:rsidRPr="009909B4">
        <w:rPr>
          <w:rFonts w:eastAsia="Times New Roman" w:cstheme="minorHAnsi"/>
        </w:rPr>
        <w:t xml:space="preserve"> </w:t>
      </w:r>
      <w:r w:rsidR="009909B4" w:rsidRPr="009909B4">
        <w:rPr>
          <w:rFonts w:eastAsia="Times New Roman" w:cstheme="minorHAnsi"/>
        </w:rPr>
        <w:t>Case Law and Legal Summaries provide a monthly overview and analysis of selected cases, highlighting implications for adults and families social care practice. There are </w:t>
      </w:r>
      <w:r w:rsidR="009909B4" w:rsidRPr="009909B4">
        <w:rPr>
          <w:rStyle w:val="Strong"/>
          <w:rFonts w:eastAsia="Times New Roman" w:cstheme="minorHAnsi"/>
        </w:rPr>
        <w:t>four</w:t>
      </w:r>
      <w:r w:rsidR="009909B4" w:rsidRPr="009909B4">
        <w:rPr>
          <w:rFonts w:eastAsia="Times New Roman" w:cstheme="minorHAnsi"/>
        </w:rPr>
        <w:t xml:space="preserve"> cases this month: </w:t>
      </w:r>
    </w:p>
    <w:p w14:paraId="21AEDFC5" w14:textId="3BEB930A" w:rsidR="009909B4" w:rsidRPr="009909B4" w:rsidRDefault="009909B4" w:rsidP="009909B4">
      <w:pPr>
        <w:numPr>
          <w:ilvl w:val="0"/>
          <w:numId w:val="7"/>
        </w:numPr>
        <w:spacing w:before="100" w:beforeAutospacing="1" w:after="100" w:afterAutospacing="1" w:line="240" w:lineRule="auto"/>
        <w:ind w:left="714" w:hanging="357"/>
        <w:rPr>
          <w:rFonts w:eastAsia="Times New Roman" w:cstheme="minorHAnsi"/>
          <w:color w:val="606060"/>
        </w:rPr>
      </w:pPr>
      <w:r w:rsidRPr="009909B4">
        <w:rPr>
          <w:rFonts w:eastAsia="Times New Roman" w:cstheme="minorHAnsi"/>
        </w:rPr>
        <w:t>I</w:t>
      </w:r>
      <w:r w:rsidRPr="009909B4">
        <w:rPr>
          <w:rFonts w:eastAsia="Times New Roman" w:cstheme="minorHAnsi"/>
        </w:rPr>
        <w:t>n</w:t>
      </w:r>
      <w:r w:rsidRPr="009909B4">
        <w:rPr>
          <w:rStyle w:val="Emphasis"/>
          <w:rFonts w:eastAsia="Times New Roman" w:cstheme="minorHAnsi"/>
          <w:color w:val="606060"/>
        </w:rPr>
        <w:t> </w:t>
      </w:r>
      <w:hyperlink r:id="rId30" w:history="1">
        <w:r w:rsidRPr="009909B4">
          <w:rPr>
            <w:rStyle w:val="Hyperlink"/>
            <w:rFonts w:eastAsia="Times New Roman" w:cstheme="minorHAnsi"/>
            <w:b/>
            <w:bCs/>
            <w:i/>
            <w:iCs/>
            <w:color w:val="2F5496" w:themeColor="accent1" w:themeShade="BF"/>
          </w:rPr>
          <w:t>R (Gardner) v SSHC</w:t>
        </w:r>
      </w:hyperlink>
      <w:r w:rsidRPr="009909B4">
        <w:rPr>
          <w:rFonts w:eastAsia="Times New Roman" w:cstheme="minorHAnsi"/>
          <w:color w:val="606060"/>
        </w:rPr>
        <w:t xml:space="preserve">, </w:t>
      </w:r>
      <w:r w:rsidRPr="009909B4">
        <w:rPr>
          <w:rFonts w:eastAsia="Times New Roman" w:cstheme="minorHAnsi"/>
        </w:rPr>
        <w:t>the High Court found that guidance issued to care homes by the government in 2020 was ‘irrational’ because it did not take into account the risk of COVID-19 being spread by asymptomatic individuals.</w:t>
      </w:r>
    </w:p>
    <w:p w14:paraId="4CCB52E5" w14:textId="77777777" w:rsidR="009909B4" w:rsidRPr="009909B4" w:rsidRDefault="009909B4" w:rsidP="009909B4">
      <w:pPr>
        <w:numPr>
          <w:ilvl w:val="0"/>
          <w:numId w:val="7"/>
        </w:numPr>
        <w:spacing w:before="100" w:beforeAutospacing="1" w:after="100" w:afterAutospacing="1" w:line="240" w:lineRule="auto"/>
        <w:ind w:left="714" w:hanging="357"/>
        <w:rPr>
          <w:rFonts w:eastAsia="Times New Roman" w:cstheme="minorHAnsi"/>
          <w:color w:val="606060"/>
        </w:rPr>
      </w:pPr>
      <w:hyperlink r:id="rId31" w:history="1">
        <w:r w:rsidRPr="009909B4">
          <w:rPr>
            <w:rStyle w:val="Hyperlink"/>
            <w:rFonts w:eastAsia="Times New Roman" w:cstheme="minorHAnsi"/>
            <w:b/>
            <w:bCs/>
            <w:i/>
            <w:iCs/>
            <w:color w:val="2F5496" w:themeColor="accent1" w:themeShade="BF"/>
          </w:rPr>
          <w:t>London Borough of Islington v EF</w:t>
        </w:r>
      </w:hyperlink>
      <w:r w:rsidRPr="009909B4">
        <w:rPr>
          <w:rStyle w:val="Emphasis"/>
          <w:rFonts w:eastAsia="Times New Roman" w:cstheme="minorHAnsi"/>
          <w:color w:val="606060"/>
        </w:rPr>
        <w:t> </w:t>
      </w:r>
      <w:r w:rsidRPr="009909B4">
        <w:rPr>
          <w:rFonts w:eastAsia="Times New Roman" w:cstheme="minorHAnsi"/>
        </w:rPr>
        <w:t>involved a young woman who wanted to move to Brazil to be with her boyfriend, over whom there were serious concerns, as well as concerns about risks to her mental health if she were to do so.</w:t>
      </w:r>
    </w:p>
    <w:p w14:paraId="2F37FC3A" w14:textId="77777777" w:rsidR="009909B4" w:rsidRPr="009909B4" w:rsidRDefault="009909B4" w:rsidP="009909B4">
      <w:pPr>
        <w:numPr>
          <w:ilvl w:val="0"/>
          <w:numId w:val="7"/>
        </w:numPr>
        <w:spacing w:before="100" w:beforeAutospacing="1" w:after="100" w:afterAutospacing="1" w:line="240" w:lineRule="auto"/>
        <w:ind w:left="714" w:hanging="357"/>
        <w:rPr>
          <w:rFonts w:eastAsia="Times New Roman" w:cstheme="minorHAnsi"/>
          <w:color w:val="606060"/>
        </w:rPr>
      </w:pPr>
      <w:r w:rsidRPr="009909B4">
        <w:rPr>
          <w:rFonts w:eastAsia="Times New Roman" w:cstheme="minorHAnsi"/>
        </w:rPr>
        <w:t>In</w:t>
      </w:r>
      <w:r w:rsidRPr="009909B4">
        <w:rPr>
          <w:rFonts w:eastAsia="Times New Roman" w:cstheme="minorHAnsi"/>
          <w:color w:val="606060"/>
        </w:rPr>
        <w:t> </w:t>
      </w:r>
      <w:hyperlink r:id="rId32" w:history="1">
        <w:r w:rsidRPr="009909B4">
          <w:rPr>
            <w:rStyle w:val="Hyperlink"/>
            <w:rFonts w:eastAsia="Times New Roman" w:cstheme="minorHAnsi"/>
            <w:b/>
            <w:bCs/>
            <w:i/>
            <w:iCs/>
            <w:color w:val="2F5496" w:themeColor="accent1" w:themeShade="BF"/>
          </w:rPr>
          <w:t>PH v Betsi Cadwaladr Health Board</w:t>
        </w:r>
      </w:hyperlink>
      <w:r w:rsidRPr="009909B4">
        <w:rPr>
          <w:rFonts w:eastAsia="Times New Roman" w:cstheme="minorHAnsi"/>
          <w:color w:val="606060"/>
        </w:rPr>
        <w:t xml:space="preserve">, </w:t>
      </w:r>
      <w:r w:rsidRPr="009909B4">
        <w:rPr>
          <w:rFonts w:eastAsia="Times New Roman" w:cstheme="minorHAnsi"/>
        </w:rPr>
        <w:t>the Court of Protection held that a man retained the capacity to make decisions about refusing nutrition.</w:t>
      </w:r>
    </w:p>
    <w:p w14:paraId="559CE62F" w14:textId="5495BCAB" w:rsidR="00713E89" w:rsidRPr="009909B4" w:rsidRDefault="009909B4" w:rsidP="009909B4">
      <w:pPr>
        <w:numPr>
          <w:ilvl w:val="0"/>
          <w:numId w:val="7"/>
        </w:numPr>
        <w:spacing w:before="100" w:beforeAutospacing="1" w:after="100" w:afterAutospacing="1" w:line="240" w:lineRule="auto"/>
        <w:ind w:left="714" w:hanging="357"/>
        <w:rPr>
          <w:rFonts w:eastAsia="Times New Roman" w:cstheme="minorHAnsi"/>
          <w:color w:val="606060"/>
        </w:rPr>
      </w:pPr>
      <w:r w:rsidRPr="009909B4">
        <w:rPr>
          <w:rFonts w:eastAsia="Times New Roman" w:cstheme="minorHAnsi"/>
        </w:rPr>
        <w:t>In</w:t>
      </w:r>
      <w:r w:rsidRPr="009909B4">
        <w:rPr>
          <w:rFonts w:eastAsia="Times New Roman" w:cstheme="minorHAnsi"/>
          <w:color w:val="606060"/>
        </w:rPr>
        <w:t> </w:t>
      </w:r>
      <w:hyperlink r:id="rId33" w:history="1">
        <w:r w:rsidRPr="009909B4">
          <w:rPr>
            <w:rStyle w:val="Hyperlink"/>
            <w:rFonts w:eastAsia="Times New Roman" w:cstheme="minorHAnsi"/>
            <w:b/>
            <w:bCs/>
            <w:i/>
            <w:iCs/>
            <w:color w:val="2F5496" w:themeColor="accent1" w:themeShade="BF"/>
          </w:rPr>
          <w:t>MOC v Secretary of State for Work and Pensions</w:t>
        </w:r>
      </w:hyperlink>
      <w:r w:rsidRPr="009909B4">
        <w:rPr>
          <w:rFonts w:eastAsia="Times New Roman" w:cstheme="minorHAnsi"/>
          <w:color w:val="2F5496" w:themeColor="accent1" w:themeShade="BF"/>
        </w:rPr>
        <w:t xml:space="preserve">, </w:t>
      </w:r>
      <w:r w:rsidRPr="009909B4">
        <w:rPr>
          <w:rFonts w:eastAsia="Times New Roman" w:cstheme="minorHAnsi"/>
        </w:rPr>
        <w:t>the Court of Appeal ruled that the ‘hospitalisation’ rule which allowed Disability Living Allowance payments to be suspended if someone was in hospital for more than 28 days was not a violation of human rights.</w:t>
      </w:r>
      <w:r>
        <w:rPr>
          <w:rFonts w:eastAsia="Times New Roman" w:cstheme="minorHAnsi"/>
          <w:color w:val="606060"/>
        </w:rPr>
        <w:t xml:space="preserve"> </w:t>
      </w:r>
      <w:hyperlink r:id="rId34" w:tgtFrame="_blank" w:history="1">
        <w:r w:rsidRPr="009909B4">
          <w:rPr>
            <w:rStyle w:val="Hyperlink"/>
            <w:rFonts w:eastAsia="Times New Roman" w:cstheme="minorHAnsi"/>
            <w:b/>
            <w:bCs/>
            <w:color w:val="2F5496" w:themeColor="accent1" w:themeShade="BF"/>
          </w:rPr>
          <w:t>View the summaries</w:t>
        </w:r>
      </w:hyperlink>
      <w:r w:rsidRPr="009909B4">
        <w:rPr>
          <w:rFonts w:eastAsia="Times New Roman" w:cstheme="minorHAnsi"/>
          <w:color w:val="2F5496" w:themeColor="accent1" w:themeShade="BF"/>
        </w:rPr>
        <w:t>. </w:t>
      </w:r>
    </w:p>
    <w:p w14:paraId="213F1539" w14:textId="603EB6CE" w:rsidR="00C95C73" w:rsidRPr="00A949A5" w:rsidRDefault="00E13D69" w:rsidP="00A949A5">
      <w:pPr>
        <w:spacing w:before="240" w:after="240" w:line="240" w:lineRule="auto"/>
        <w:rPr>
          <w:rFonts w:cstheme="minorHAnsi"/>
          <w:color w:val="606060"/>
        </w:rPr>
      </w:pPr>
      <w:r w:rsidRPr="00A949A5">
        <w:rPr>
          <w:color w:val="0070C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Workshop</w:t>
      </w:r>
      <w:r w:rsidR="00C95C73" w:rsidRPr="00A949A5">
        <w:rPr>
          <w:color w:val="0070C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A949A5">
        <w:rPr>
          <w:color w:val="0070C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C95C73" w:rsidRPr="00A949A5">
        <w:rPr>
          <w:color w:val="0070C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Events</w:t>
      </w:r>
    </w:p>
    <w:p w14:paraId="1F21770F" w14:textId="77777777" w:rsidR="009909B4" w:rsidRPr="008915BE" w:rsidRDefault="00455E94" w:rsidP="009909B4">
      <w:pPr>
        <w:textAlignment w:val="baseline"/>
        <w:rPr>
          <w:color w:val="2F5496" w:themeColor="accent1" w:themeShade="BF"/>
        </w:rPr>
      </w:pPr>
      <w:r w:rsidRPr="009909B4">
        <w:rPr>
          <w:rFonts w:ascii="InfoTextPro" w:hAnsi="InfoTextPro"/>
          <w:b/>
          <w:bCs/>
          <w:u w:val="single"/>
          <w:lang w:eastAsia="en-GB"/>
        </w:rPr>
        <w:t>Understanding discrimination within safeguarding adults</w:t>
      </w:r>
      <w:r>
        <w:rPr>
          <w:rFonts w:ascii="InfoTextPro" w:hAnsi="InfoTextPro"/>
          <w:lang w:eastAsia="en-GB"/>
        </w:rPr>
        <w:t> </w:t>
      </w:r>
      <w:r w:rsidR="009909B4">
        <w:t xml:space="preserve"> - </w:t>
      </w:r>
      <w:hyperlink r:id="rId35" w:tgtFrame="_blank" w:history="1">
        <w:r w:rsidRPr="008915BE">
          <w:rPr>
            <w:rStyle w:val="Hyperlink"/>
            <w:rFonts w:ascii="InfoTextPro" w:hAnsi="InfoTextPro" w:cs="Segoe UI"/>
            <w:color w:val="2F5496" w:themeColor="accent1" w:themeShade="BF"/>
            <w:lang w:eastAsia="en-GB"/>
          </w:rPr>
          <w:t>20 July 2022 10.00 - 15.00</w:t>
        </w:r>
      </w:hyperlink>
      <w:r w:rsidRPr="008915BE">
        <w:rPr>
          <w:rFonts w:ascii="InfoTextPro" w:hAnsi="InfoTextPro"/>
          <w:color w:val="2F5496" w:themeColor="accent1" w:themeShade="BF"/>
          <w:lang w:eastAsia="en-GB"/>
        </w:rPr>
        <w:t> </w:t>
      </w:r>
    </w:p>
    <w:p w14:paraId="7639F2E9" w14:textId="5F6C40EE" w:rsidR="00455E94" w:rsidRDefault="00455E94" w:rsidP="009909B4">
      <w:pPr>
        <w:textAlignment w:val="baseline"/>
      </w:pPr>
      <w:r>
        <w:rPr>
          <w:rFonts w:ascii="InfoTextPro" w:hAnsi="InfoTextPro"/>
          <w:lang w:eastAsia="en-GB"/>
        </w:rPr>
        <w:t>This workshop will help practitioners explore discrimination in a safeguarding context.</w:t>
      </w:r>
      <w:r w:rsidR="009909B4">
        <w:rPr>
          <w:rFonts w:ascii="InfoTextPro" w:hAnsi="InfoTextPro"/>
          <w:lang w:eastAsia="en-GB"/>
        </w:rPr>
        <w:t xml:space="preserve"> </w:t>
      </w:r>
      <w:r>
        <w:rPr>
          <w:rFonts w:ascii="InfoTextPro" w:hAnsi="InfoTextPro"/>
          <w:lang w:eastAsia="en-GB"/>
        </w:rPr>
        <w:t>Through hearing key messages from research and sharing practice experience, you will clarify what discriminatory abuse is, explore its effects on people and practitioners, explore effective support and think about opportunities for improving practice and organisational support. </w:t>
      </w:r>
      <w:r w:rsidR="009909B4">
        <w:rPr>
          <w:rFonts w:ascii="InfoTextPro" w:hAnsi="InfoTextPro"/>
          <w:lang w:eastAsia="en-GB"/>
        </w:rPr>
        <w:t>The session</w:t>
      </w:r>
      <w:r>
        <w:rPr>
          <w:rFonts w:ascii="InfoTextPro" w:hAnsi="InfoTextPro"/>
          <w:lang w:eastAsia="en-GB"/>
        </w:rPr>
        <w:t xml:space="preserve"> will take you through a creative storytelling exercise to help you reflect on how you work with people who face discriminatory abuse. Through this you can, should you wish, contribute to a research project being undertaken by Royal Holloway, University of London to explore practice realities in relation to discriminatory abuse. </w:t>
      </w:r>
    </w:p>
    <w:p w14:paraId="7A62B88E" w14:textId="213BE554" w:rsidR="00905CAF" w:rsidRPr="007C1896" w:rsidRDefault="00F666A3" w:rsidP="007C1896">
      <w:pPr>
        <w:shd w:val="clear" w:color="auto" w:fill="FFFFFF"/>
        <w:spacing w:before="100" w:beforeAutospacing="1" w:after="100" w:afterAutospacing="1" w:line="240" w:lineRule="auto"/>
        <w:rPr>
          <w:rFonts w:cstheme="minorHAnsi"/>
          <w:b/>
        </w:rPr>
      </w:pPr>
      <w:r w:rsidRPr="006F3E93">
        <w:rPr>
          <w:rStyle w:val="eop"/>
          <w:rFonts w:cstheme="minorHAnsi"/>
          <w:b/>
        </w:rPr>
        <w:t>Please gain your Line Managers approval before requesting a place on th</w:t>
      </w:r>
      <w:r w:rsidR="00713E89">
        <w:rPr>
          <w:rStyle w:val="eop"/>
          <w:rFonts w:cstheme="minorHAnsi"/>
          <w:b/>
        </w:rPr>
        <w:t>is</w:t>
      </w:r>
      <w:r w:rsidR="007C1896">
        <w:rPr>
          <w:rStyle w:val="eop"/>
          <w:rFonts w:cstheme="minorHAnsi"/>
          <w:b/>
        </w:rPr>
        <w:t xml:space="preserve"> session </w:t>
      </w:r>
    </w:p>
    <w:sectPr w:rsidR="00905CAF" w:rsidRPr="007C18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6EE8" w14:textId="77777777" w:rsidR="007C1896" w:rsidRDefault="007C1896" w:rsidP="007C1896">
      <w:pPr>
        <w:spacing w:after="0" w:line="240" w:lineRule="auto"/>
      </w:pPr>
      <w:r>
        <w:separator/>
      </w:r>
    </w:p>
  </w:endnote>
  <w:endnote w:type="continuationSeparator" w:id="0">
    <w:p w14:paraId="6665FF06" w14:textId="77777777" w:rsidR="007C1896" w:rsidRDefault="007C1896" w:rsidP="007C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foTextPr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B0B8" w14:textId="77777777" w:rsidR="007C1896" w:rsidRDefault="007C1896" w:rsidP="007C1896">
      <w:pPr>
        <w:spacing w:after="0" w:line="240" w:lineRule="auto"/>
      </w:pPr>
      <w:r>
        <w:separator/>
      </w:r>
    </w:p>
  </w:footnote>
  <w:footnote w:type="continuationSeparator" w:id="0">
    <w:p w14:paraId="4F7ACE43" w14:textId="77777777" w:rsidR="007C1896" w:rsidRDefault="007C1896" w:rsidP="007C1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18D"/>
    <w:multiLevelType w:val="multilevel"/>
    <w:tmpl w:val="7A28E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030C8"/>
    <w:multiLevelType w:val="multilevel"/>
    <w:tmpl w:val="3BF81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01F3F"/>
    <w:multiLevelType w:val="hybridMultilevel"/>
    <w:tmpl w:val="3BEEA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F1BBE"/>
    <w:multiLevelType w:val="hybridMultilevel"/>
    <w:tmpl w:val="B9D48D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9538B"/>
    <w:multiLevelType w:val="hybridMultilevel"/>
    <w:tmpl w:val="A6AA4AA0"/>
    <w:lvl w:ilvl="0" w:tplc="474A74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87244"/>
    <w:multiLevelType w:val="hybridMultilevel"/>
    <w:tmpl w:val="C2642AC4"/>
    <w:lvl w:ilvl="0" w:tplc="474A74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A5F94"/>
    <w:multiLevelType w:val="multilevel"/>
    <w:tmpl w:val="F00EE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AF"/>
    <w:rsid w:val="00036C59"/>
    <w:rsid w:val="001043B9"/>
    <w:rsid w:val="002451D2"/>
    <w:rsid w:val="00385E55"/>
    <w:rsid w:val="00455E94"/>
    <w:rsid w:val="004A13A6"/>
    <w:rsid w:val="0056594B"/>
    <w:rsid w:val="005C25AE"/>
    <w:rsid w:val="006334C8"/>
    <w:rsid w:val="00636431"/>
    <w:rsid w:val="006613D4"/>
    <w:rsid w:val="007007AF"/>
    <w:rsid w:val="00713E89"/>
    <w:rsid w:val="00760E1B"/>
    <w:rsid w:val="007762D5"/>
    <w:rsid w:val="007C1896"/>
    <w:rsid w:val="008915BE"/>
    <w:rsid w:val="008E6D03"/>
    <w:rsid w:val="0090208E"/>
    <w:rsid w:val="00905CAF"/>
    <w:rsid w:val="009909B4"/>
    <w:rsid w:val="009C28B9"/>
    <w:rsid w:val="00A949A5"/>
    <w:rsid w:val="00B91FE8"/>
    <w:rsid w:val="00C95C73"/>
    <w:rsid w:val="00D3743E"/>
    <w:rsid w:val="00DD3C42"/>
    <w:rsid w:val="00DF13F1"/>
    <w:rsid w:val="00E13D69"/>
    <w:rsid w:val="00F47EFF"/>
    <w:rsid w:val="00F6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AF9E"/>
  <w15:chartTrackingRefBased/>
  <w15:docId w15:val="{34402720-94A2-4DF7-961F-2859B793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6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6334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5CA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905CAF"/>
  </w:style>
  <w:style w:type="character" w:customStyle="1" w:styleId="eop">
    <w:name w:val="eop"/>
    <w:basedOn w:val="DefaultParagraphFont"/>
    <w:rsid w:val="00905CAF"/>
  </w:style>
  <w:style w:type="character" w:styleId="Hyperlink">
    <w:name w:val="Hyperlink"/>
    <w:basedOn w:val="DefaultParagraphFont"/>
    <w:uiPriority w:val="99"/>
    <w:unhideWhenUsed/>
    <w:rsid w:val="00036C59"/>
    <w:rPr>
      <w:color w:val="0563C1" w:themeColor="hyperlink"/>
      <w:u w:val="single"/>
    </w:rPr>
  </w:style>
  <w:style w:type="character" w:styleId="UnresolvedMention">
    <w:name w:val="Unresolved Mention"/>
    <w:basedOn w:val="DefaultParagraphFont"/>
    <w:uiPriority w:val="99"/>
    <w:semiHidden/>
    <w:unhideWhenUsed/>
    <w:rsid w:val="00036C59"/>
    <w:rPr>
      <w:color w:val="605E5C"/>
      <w:shd w:val="clear" w:color="auto" w:fill="E1DFDD"/>
    </w:rPr>
  </w:style>
  <w:style w:type="paragraph" w:styleId="ListParagraph">
    <w:name w:val="List Paragraph"/>
    <w:basedOn w:val="Normal"/>
    <w:uiPriority w:val="34"/>
    <w:qFormat/>
    <w:rsid w:val="005C25AE"/>
    <w:pPr>
      <w:ind w:left="720"/>
      <w:contextualSpacing/>
    </w:pPr>
  </w:style>
  <w:style w:type="character" w:styleId="Strong">
    <w:name w:val="Strong"/>
    <w:basedOn w:val="DefaultParagraphFont"/>
    <w:uiPriority w:val="22"/>
    <w:qFormat/>
    <w:rsid w:val="00C95C73"/>
    <w:rPr>
      <w:b/>
      <w:bCs/>
    </w:rPr>
  </w:style>
  <w:style w:type="paragraph" w:styleId="NormalWeb">
    <w:name w:val="Normal (Web)"/>
    <w:basedOn w:val="Normal"/>
    <w:uiPriority w:val="99"/>
    <w:unhideWhenUsed/>
    <w:rsid w:val="006613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3643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7C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896"/>
  </w:style>
  <w:style w:type="paragraph" w:styleId="Footer">
    <w:name w:val="footer"/>
    <w:basedOn w:val="Normal"/>
    <w:link w:val="FooterChar"/>
    <w:uiPriority w:val="99"/>
    <w:unhideWhenUsed/>
    <w:rsid w:val="007C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896"/>
  </w:style>
  <w:style w:type="character" w:customStyle="1" w:styleId="Heading4Char">
    <w:name w:val="Heading 4 Char"/>
    <w:basedOn w:val="DefaultParagraphFont"/>
    <w:link w:val="Heading4"/>
    <w:uiPriority w:val="9"/>
    <w:semiHidden/>
    <w:rsid w:val="006334C8"/>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DF13F1"/>
    <w:rPr>
      <w:color w:val="954F72" w:themeColor="followedHyperlink"/>
      <w:u w:val="single"/>
    </w:rPr>
  </w:style>
  <w:style w:type="character" w:styleId="Emphasis">
    <w:name w:val="Emphasis"/>
    <w:basedOn w:val="DefaultParagraphFont"/>
    <w:uiPriority w:val="20"/>
    <w:qFormat/>
    <w:rsid w:val="009909B4"/>
    <w:rPr>
      <w:i/>
      <w:iCs/>
    </w:rPr>
  </w:style>
  <w:style w:type="character" w:styleId="CommentReference">
    <w:name w:val="annotation reference"/>
    <w:basedOn w:val="DefaultParagraphFont"/>
    <w:uiPriority w:val="99"/>
    <w:semiHidden/>
    <w:unhideWhenUsed/>
    <w:rsid w:val="009909B4"/>
    <w:rPr>
      <w:sz w:val="16"/>
      <w:szCs w:val="16"/>
    </w:rPr>
  </w:style>
  <w:style w:type="paragraph" w:styleId="CommentText">
    <w:name w:val="annotation text"/>
    <w:basedOn w:val="Normal"/>
    <w:link w:val="CommentTextChar"/>
    <w:uiPriority w:val="99"/>
    <w:semiHidden/>
    <w:unhideWhenUsed/>
    <w:rsid w:val="009909B4"/>
    <w:pPr>
      <w:spacing w:line="240" w:lineRule="auto"/>
    </w:pPr>
    <w:rPr>
      <w:sz w:val="20"/>
      <w:szCs w:val="20"/>
    </w:rPr>
  </w:style>
  <w:style w:type="character" w:customStyle="1" w:styleId="CommentTextChar">
    <w:name w:val="Comment Text Char"/>
    <w:basedOn w:val="DefaultParagraphFont"/>
    <w:link w:val="CommentText"/>
    <w:uiPriority w:val="99"/>
    <w:semiHidden/>
    <w:rsid w:val="009909B4"/>
    <w:rPr>
      <w:sz w:val="20"/>
      <w:szCs w:val="20"/>
    </w:rPr>
  </w:style>
  <w:style w:type="paragraph" w:styleId="CommentSubject">
    <w:name w:val="annotation subject"/>
    <w:basedOn w:val="CommentText"/>
    <w:next w:val="CommentText"/>
    <w:link w:val="CommentSubjectChar"/>
    <w:uiPriority w:val="99"/>
    <w:semiHidden/>
    <w:unhideWhenUsed/>
    <w:rsid w:val="009909B4"/>
    <w:rPr>
      <w:b/>
      <w:bCs/>
    </w:rPr>
  </w:style>
  <w:style w:type="character" w:customStyle="1" w:styleId="CommentSubjectChar">
    <w:name w:val="Comment Subject Char"/>
    <w:basedOn w:val="CommentTextChar"/>
    <w:link w:val="CommentSubject"/>
    <w:uiPriority w:val="99"/>
    <w:semiHidden/>
    <w:rsid w:val="00990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338">
      <w:bodyDiv w:val="1"/>
      <w:marLeft w:val="0"/>
      <w:marRight w:val="0"/>
      <w:marTop w:val="0"/>
      <w:marBottom w:val="0"/>
      <w:divBdr>
        <w:top w:val="none" w:sz="0" w:space="0" w:color="auto"/>
        <w:left w:val="none" w:sz="0" w:space="0" w:color="auto"/>
        <w:bottom w:val="none" w:sz="0" w:space="0" w:color="auto"/>
        <w:right w:val="none" w:sz="0" w:space="0" w:color="auto"/>
      </w:divBdr>
    </w:div>
    <w:div w:id="72121309">
      <w:bodyDiv w:val="1"/>
      <w:marLeft w:val="0"/>
      <w:marRight w:val="0"/>
      <w:marTop w:val="0"/>
      <w:marBottom w:val="0"/>
      <w:divBdr>
        <w:top w:val="none" w:sz="0" w:space="0" w:color="auto"/>
        <w:left w:val="none" w:sz="0" w:space="0" w:color="auto"/>
        <w:bottom w:val="none" w:sz="0" w:space="0" w:color="auto"/>
        <w:right w:val="none" w:sz="0" w:space="0" w:color="auto"/>
      </w:divBdr>
    </w:div>
    <w:div w:id="168523096">
      <w:bodyDiv w:val="1"/>
      <w:marLeft w:val="0"/>
      <w:marRight w:val="0"/>
      <w:marTop w:val="0"/>
      <w:marBottom w:val="0"/>
      <w:divBdr>
        <w:top w:val="none" w:sz="0" w:space="0" w:color="auto"/>
        <w:left w:val="none" w:sz="0" w:space="0" w:color="auto"/>
        <w:bottom w:val="none" w:sz="0" w:space="0" w:color="auto"/>
        <w:right w:val="none" w:sz="0" w:space="0" w:color="auto"/>
      </w:divBdr>
    </w:div>
    <w:div w:id="235015401">
      <w:bodyDiv w:val="1"/>
      <w:marLeft w:val="0"/>
      <w:marRight w:val="0"/>
      <w:marTop w:val="0"/>
      <w:marBottom w:val="0"/>
      <w:divBdr>
        <w:top w:val="none" w:sz="0" w:space="0" w:color="auto"/>
        <w:left w:val="none" w:sz="0" w:space="0" w:color="auto"/>
        <w:bottom w:val="none" w:sz="0" w:space="0" w:color="auto"/>
        <w:right w:val="none" w:sz="0" w:space="0" w:color="auto"/>
      </w:divBdr>
    </w:div>
    <w:div w:id="269506589">
      <w:bodyDiv w:val="1"/>
      <w:marLeft w:val="0"/>
      <w:marRight w:val="0"/>
      <w:marTop w:val="0"/>
      <w:marBottom w:val="0"/>
      <w:divBdr>
        <w:top w:val="none" w:sz="0" w:space="0" w:color="auto"/>
        <w:left w:val="none" w:sz="0" w:space="0" w:color="auto"/>
        <w:bottom w:val="none" w:sz="0" w:space="0" w:color="auto"/>
        <w:right w:val="none" w:sz="0" w:space="0" w:color="auto"/>
      </w:divBdr>
    </w:div>
    <w:div w:id="387536701">
      <w:bodyDiv w:val="1"/>
      <w:marLeft w:val="0"/>
      <w:marRight w:val="0"/>
      <w:marTop w:val="0"/>
      <w:marBottom w:val="0"/>
      <w:divBdr>
        <w:top w:val="none" w:sz="0" w:space="0" w:color="auto"/>
        <w:left w:val="none" w:sz="0" w:space="0" w:color="auto"/>
        <w:bottom w:val="none" w:sz="0" w:space="0" w:color="auto"/>
        <w:right w:val="none" w:sz="0" w:space="0" w:color="auto"/>
      </w:divBdr>
    </w:div>
    <w:div w:id="397287819">
      <w:bodyDiv w:val="1"/>
      <w:marLeft w:val="0"/>
      <w:marRight w:val="0"/>
      <w:marTop w:val="0"/>
      <w:marBottom w:val="0"/>
      <w:divBdr>
        <w:top w:val="none" w:sz="0" w:space="0" w:color="auto"/>
        <w:left w:val="none" w:sz="0" w:space="0" w:color="auto"/>
        <w:bottom w:val="none" w:sz="0" w:space="0" w:color="auto"/>
        <w:right w:val="none" w:sz="0" w:space="0" w:color="auto"/>
      </w:divBdr>
    </w:div>
    <w:div w:id="864558686">
      <w:bodyDiv w:val="1"/>
      <w:marLeft w:val="0"/>
      <w:marRight w:val="0"/>
      <w:marTop w:val="0"/>
      <w:marBottom w:val="0"/>
      <w:divBdr>
        <w:top w:val="none" w:sz="0" w:space="0" w:color="auto"/>
        <w:left w:val="none" w:sz="0" w:space="0" w:color="auto"/>
        <w:bottom w:val="none" w:sz="0" w:space="0" w:color="auto"/>
        <w:right w:val="none" w:sz="0" w:space="0" w:color="auto"/>
      </w:divBdr>
    </w:div>
    <w:div w:id="904946541">
      <w:bodyDiv w:val="1"/>
      <w:marLeft w:val="0"/>
      <w:marRight w:val="0"/>
      <w:marTop w:val="0"/>
      <w:marBottom w:val="0"/>
      <w:divBdr>
        <w:top w:val="none" w:sz="0" w:space="0" w:color="auto"/>
        <w:left w:val="none" w:sz="0" w:space="0" w:color="auto"/>
        <w:bottom w:val="none" w:sz="0" w:space="0" w:color="auto"/>
        <w:right w:val="none" w:sz="0" w:space="0" w:color="auto"/>
      </w:divBdr>
    </w:div>
    <w:div w:id="986472154">
      <w:bodyDiv w:val="1"/>
      <w:marLeft w:val="0"/>
      <w:marRight w:val="0"/>
      <w:marTop w:val="0"/>
      <w:marBottom w:val="0"/>
      <w:divBdr>
        <w:top w:val="none" w:sz="0" w:space="0" w:color="auto"/>
        <w:left w:val="none" w:sz="0" w:space="0" w:color="auto"/>
        <w:bottom w:val="none" w:sz="0" w:space="0" w:color="auto"/>
        <w:right w:val="none" w:sz="0" w:space="0" w:color="auto"/>
      </w:divBdr>
    </w:div>
    <w:div w:id="1109157158">
      <w:bodyDiv w:val="1"/>
      <w:marLeft w:val="0"/>
      <w:marRight w:val="0"/>
      <w:marTop w:val="0"/>
      <w:marBottom w:val="0"/>
      <w:divBdr>
        <w:top w:val="none" w:sz="0" w:space="0" w:color="auto"/>
        <w:left w:val="none" w:sz="0" w:space="0" w:color="auto"/>
        <w:bottom w:val="none" w:sz="0" w:space="0" w:color="auto"/>
        <w:right w:val="none" w:sz="0" w:space="0" w:color="auto"/>
      </w:divBdr>
    </w:div>
    <w:div w:id="1236087491">
      <w:bodyDiv w:val="1"/>
      <w:marLeft w:val="0"/>
      <w:marRight w:val="0"/>
      <w:marTop w:val="0"/>
      <w:marBottom w:val="0"/>
      <w:divBdr>
        <w:top w:val="none" w:sz="0" w:space="0" w:color="auto"/>
        <w:left w:val="none" w:sz="0" w:space="0" w:color="auto"/>
        <w:bottom w:val="none" w:sz="0" w:space="0" w:color="auto"/>
        <w:right w:val="none" w:sz="0" w:space="0" w:color="auto"/>
      </w:divBdr>
    </w:div>
    <w:div w:id="1288077195">
      <w:bodyDiv w:val="1"/>
      <w:marLeft w:val="0"/>
      <w:marRight w:val="0"/>
      <w:marTop w:val="0"/>
      <w:marBottom w:val="0"/>
      <w:divBdr>
        <w:top w:val="none" w:sz="0" w:space="0" w:color="auto"/>
        <w:left w:val="none" w:sz="0" w:space="0" w:color="auto"/>
        <w:bottom w:val="none" w:sz="0" w:space="0" w:color="auto"/>
        <w:right w:val="none" w:sz="0" w:space="0" w:color="auto"/>
      </w:divBdr>
    </w:div>
    <w:div w:id="1289506127">
      <w:bodyDiv w:val="1"/>
      <w:marLeft w:val="0"/>
      <w:marRight w:val="0"/>
      <w:marTop w:val="0"/>
      <w:marBottom w:val="0"/>
      <w:divBdr>
        <w:top w:val="none" w:sz="0" w:space="0" w:color="auto"/>
        <w:left w:val="none" w:sz="0" w:space="0" w:color="auto"/>
        <w:bottom w:val="none" w:sz="0" w:space="0" w:color="auto"/>
        <w:right w:val="none" w:sz="0" w:space="0" w:color="auto"/>
      </w:divBdr>
    </w:div>
    <w:div w:id="1354726950">
      <w:bodyDiv w:val="1"/>
      <w:marLeft w:val="0"/>
      <w:marRight w:val="0"/>
      <w:marTop w:val="0"/>
      <w:marBottom w:val="0"/>
      <w:divBdr>
        <w:top w:val="none" w:sz="0" w:space="0" w:color="auto"/>
        <w:left w:val="none" w:sz="0" w:space="0" w:color="auto"/>
        <w:bottom w:val="none" w:sz="0" w:space="0" w:color="auto"/>
        <w:right w:val="none" w:sz="0" w:space="0" w:color="auto"/>
      </w:divBdr>
    </w:div>
    <w:div w:id="1670791392">
      <w:bodyDiv w:val="1"/>
      <w:marLeft w:val="0"/>
      <w:marRight w:val="0"/>
      <w:marTop w:val="0"/>
      <w:marBottom w:val="0"/>
      <w:divBdr>
        <w:top w:val="none" w:sz="0" w:space="0" w:color="auto"/>
        <w:left w:val="none" w:sz="0" w:space="0" w:color="auto"/>
        <w:bottom w:val="none" w:sz="0" w:space="0" w:color="auto"/>
        <w:right w:val="none" w:sz="0" w:space="0" w:color="auto"/>
      </w:divBdr>
    </w:div>
    <w:div w:id="1722631348">
      <w:bodyDiv w:val="1"/>
      <w:marLeft w:val="0"/>
      <w:marRight w:val="0"/>
      <w:marTop w:val="0"/>
      <w:marBottom w:val="0"/>
      <w:divBdr>
        <w:top w:val="none" w:sz="0" w:space="0" w:color="auto"/>
        <w:left w:val="none" w:sz="0" w:space="0" w:color="auto"/>
        <w:bottom w:val="none" w:sz="0" w:space="0" w:color="auto"/>
        <w:right w:val="none" w:sz="0" w:space="0" w:color="auto"/>
      </w:divBdr>
    </w:div>
    <w:div w:id="1759866854">
      <w:bodyDiv w:val="1"/>
      <w:marLeft w:val="0"/>
      <w:marRight w:val="0"/>
      <w:marTop w:val="0"/>
      <w:marBottom w:val="0"/>
      <w:divBdr>
        <w:top w:val="none" w:sz="0" w:space="0" w:color="auto"/>
        <w:left w:val="none" w:sz="0" w:space="0" w:color="auto"/>
        <w:bottom w:val="none" w:sz="0" w:space="0" w:color="auto"/>
        <w:right w:val="none" w:sz="0" w:space="0" w:color="auto"/>
      </w:divBdr>
    </w:div>
    <w:div w:id="1970625050">
      <w:bodyDiv w:val="1"/>
      <w:marLeft w:val="0"/>
      <w:marRight w:val="0"/>
      <w:marTop w:val="0"/>
      <w:marBottom w:val="0"/>
      <w:divBdr>
        <w:top w:val="none" w:sz="0" w:space="0" w:color="auto"/>
        <w:left w:val="none" w:sz="0" w:space="0" w:color="auto"/>
        <w:bottom w:val="none" w:sz="0" w:space="0" w:color="auto"/>
        <w:right w:val="none" w:sz="0" w:space="0" w:color="auto"/>
      </w:divBdr>
    </w:div>
    <w:div w:id="20342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searchinpractice.org.uk/all/news-views/2022/january/research-in-practice-online-information-sessions/" TargetMode="External"/><Relationship Id="rId18" Type="http://schemas.openxmlformats.org/officeDocument/2006/relationships/hyperlink" Target="https://researchinpractice.us2.list-manage.com/track/click?u=88dc07a14d45a57ba3140ab9a&amp;id=5ac6f475d9&amp;e=2c15feef6f" TargetMode="External"/><Relationship Id="rId26" Type="http://schemas.openxmlformats.org/officeDocument/2006/relationships/hyperlink" Target="https://researchinpractice.us2.list-manage.com/track/click?u=88dc07a14d45a57ba3140ab9a&amp;id=0683269ac0&amp;e=2c15feef6f" TargetMode="External"/><Relationship Id="rId3" Type="http://schemas.openxmlformats.org/officeDocument/2006/relationships/settings" Target="settings.xml"/><Relationship Id="rId21" Type="http://schemas.openxmlformats.org/officeDocument/2006/relationships/hyperlink" Target="https://researchinpractice.us2.list-manage.com/track/click?u=88dc07a14d45a57ba3140ab9a&amp;id=dca82e2094&amp;e=2c15feef6f" TargetMode="External"/><Relationship Id="rId34" Type="http://schemas.openxmlformats.org/officeDocument/2006/relationships/hyperlink" Target="https://researchinpractice.us2.list-manage.com/track/click?u=88dc07a14d45a57ba3140ab9a&amp;id=1cd7e1f5f2&amp;e=2c15feef6f" TargetMode="External"/><Relationship Id="rId7" Type="http://schemas.openxmlformats.org/officeDocument/2006/relationships/image" Target="media/image1.jpeg"/><Relationship Id="rId12" Type="http://schemas.openxmlformats.org/officeDocument/2006/relationships/hyperlink" Target="https://www.researchinpractice.org.uk/dashboard/my-subscriptions/" TargetMode="External"/><Relationship Id="rId17" Type="http://schemas.openxmlformats.org/officeDocument/2006/relationships/hyperlink" Target="https://researchinpractice.us2.list-manage.com/track/click?u=88dc07a14d45a57ba3140ab9a&amp;id=90e7e1d769&amp;e=2c15feef6f" TargetMode="External"/><Relationship Id="rId25" Type="http://schemas.openxmlformats.org/officeDocument/2006/relationships/hyperlink" Target="https://researchinpractice.us2.list-manage.com/track/click?u=88dc07a14d45a57ba3140ab9a&amp;id=8a7b19ebb6&amp;e=2c15feef6f" TargetMode="External"/><Relationship Id="rId33" Type="http://schemas.openxmlformats.org/officeDocument/2006/relationships/hyperlink" Target="https://researchinpractice.us2.list-manage.com/track/click?u=88dc07a14d45a57ba3140ab9a&amp;id=0824fb5f85&amp;e=2c15feef6f" TargetMode="External"/><Relationship Id="rId2" Type="http://schemas.openxmlformats.org/officeDocument/2006/relationships/styles" Target="styles.xml"/><Relationship Id="rId16" Type="http://schemas.openxmlformats.org/officeDocument/2006/relationships/hyperlink" Target="https://researchinpractice.us2.list-manage.com/track/click?u=88dc07a14d45a57ba3140ab9a&amp;id=1f6fe5dc44&amp;e=2c15feef6f" TargetMode="External"/><Relationship Id="rId20" Type="http://schemas.openxmlformats.org/officeDocument/2006/relationships/hyperlink" Target="https://researchinpractice.us2.list-manage.com/track/click?u=88dc07a14d45a57ba3140ab9a&amp;id=45c04992eb&amp;e=2c15feef6f" TargetMode="External"/><Relationship Id="rId29" Type="http://schemas.openxmlformats.org/officeDocument/2006/relationships/hyperlink" Target="https://researchinpractice.us2.list-manage.com/track/click?u=88dc07a14d45a57ba3140ab9a&amp;id=158bd28aa3&amp;e=2c15feef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inpractice.org.uk/dashboard/" TargetMode="External"/><Relationship Id="rId24" Type="http://schemas.openxmlformats.org/officeDocument/2006/relationships/hyperlink" Target="https://researchinpractice.us2.list-manage.com/track/click?u=88dc07a14d45a57ba3140ab9a&amp;id=f57ac0b078&amp;e=2c15feef6f" TargetMode="External"/><Relationship Id="rId32" Type="http://schemas.openxmlformats.org/officeDocument/2006/relationships/hyperlink" Target="https://researchinpractice.us2.list-manage.com/track/click?u=88dc07a14d45a57ba3140ab9a&amp;id=f494a2d49a&amp;e=2c15feef6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earchinpractice.us2.list-manage.com/track/click?u=88dc07a14d45a57ba3140ab9a&amp;id=88891b74a0&amp;e=2c15feef6f" TargetMode="External"/><Relationship Id="rId23" Type="http://schemas.openxmlformats.org/officeDocument/2006/relationships/hyperlink" Target="https://researchinpractice.us2.list-manage.com/track/click?u=88dc07a14d45a57ba3140ab9a&amp;id=e850f1dbe1&amp;e=2c15feef6f" TargetMode="External"/><Relationship Id="rId28" Type="http://schemas.openxmlformats.org/officeDocument/2006/relationships/hyperlink" Target="https://researchinpractice.us2.list-manage.com/track/click?u=88dc07a14d45a57ba3140ab9a&amp;id=ebca8e0f47&amp;e=2c15feef6f" TargetMode="External"/><Relationship Id="rId36" Type="http://schemas.openxmlformats.org/officeDocument/2006/relationships/fontTable" Target="fontTable.xml"/><Relationship Id="rId10" Type="http://schemas.openxmlformats.org/officeDocument/2006/relationships/hyperlink" Target="https://vimeo.com/researchip/review/400257450/6c3a01e409" TargetMode="External"/><Relationship Id="rId19" Type="http://schemas.openxmlformats.org/officeDocument/2006/relationships/hyperlink" Target="https://researchinpractice.us2.list-manage.com/track/click?u=88dc07a14d45a57ba3140ab9a&amp;id=09b802805c&amp;e=2c15feef6f" TargetMode="External"/><Relationship Id="rId31" Type="http://schemas.openxmlformats.org/officeDocument/2006/relationships/hyperlink" Target="https://researchinpractice.us2.list-manage.com/track/click?u=88dc07a14d45a57ba3140ab9a&amp;id=7581a2590e&amp;e=2c15feef6f" TargetMode="External"/><Relationship Id="rId4" Type="http://schemas.openxmlformats.org/officeDocument/2006/relationships/webSettings" Target="webSettings.xml"/><Relationship Id="rId9" Type="http://schemas.openxmlformats.org/officeDocument/2006/relationships/hyperlink" Target="https://www.researchinpractice.org.uk/register/" TargetMode="External"/><Relationship Id="rId14" Type="http://schemas.openxmlformats.org/officeDocument/2006/relationships/hyperlink" Target="https://researchinpractice.us2.list-manage.com/track/click?u=88dc07a14d45a57ba3140ab9a&amp;id=b8394f3c6c&amp;e=2c15feef6f" TargetMode="External"/><Relationship Id="rId22" Type="http://schemas.openxmlformats.org/officeDocument/2006/relationships/hyperlink" Target="https://researchinpractice.us2.list-manage.com/track/click?u=88dc07a14d45a57ba3140ab9a&amp;id=e4c75f9c55&amp;e=2c15feef6f" TargetMode="External"/><Relationship Id="rId27" Type="http://schemas.openxmlformats.org/officeDocument/2006/relationships/hyperlink" Target="https://researchinpractice.us2.list-manage.com/track/click?u=88dc07a14d45a57ba3140ab9a&amp;id=c58cd79d06&amp;e=2c15feef6f" TargetMode="External"/><Relationship Id="rId30" Type="http://schemas.openxmlformats.org/officeDocument/2006/relationships/hyperlink" Target="https://researchinpractice.us2.list-manage.com/track/click?u=88dc07a14d45a57ba3140ab9a&amp;id=6e329031c8&amp;e=2c15feef6f" TargetMode="External"/><Relationship Id="rId35" Type="http://schemas.openxmlformats.org/officeDocument/2006/relationships/hyperlink" Target="https://www.researchinpractice.org.uk/adults/events-training/2022/july/2007-understanding-discrimination-within-safeguarding-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 Sarah</dc:creator>
  <cp:keywords/>
  <dc:description/>
  <cp:lastModifiedBy>Laister Gemma</cp:lastModifiedBy>
  <cp:revision>3</cp:revision>
  <dcterms:created xsi:type="dcterms:W3CDTF">2022-06-30T11:00:00Z</dcterms:created>
  <dcterms:modified xsi:type="dcterms:W3CDTF">2022-07-06T09:14:00Z</dcterms:modified>
</cp:coreProperties>
</file>